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640"/>
        <w:tblW w:w="15871" w:type="dxa"/>
        <w:tblLook w:val="04A0" w:firstRow="1" w:lastRow="0" w:firstColumn="1" w:lastColumn="0" w:noHBand="0" w:noVBand="1"/>
      </w:tblPr>
      <w:tblGrid>
        <w:gridCol w:w="3180"/>
        <w:gridCol w:w="2571"/>
        <w:gridCol w:w="2528"/>
        <w:gridCol w:w="2372"/>
        <w:gridCol w:w="2420"/>
        <w:gridCol w:w="2800"/>
      </w:tblGrid>
      <w:tr w:rsidR="009C683D" w:rsidTr="00280CCF">
        <w:trPr>
          <w:trHeight w:val="335"/>
        </w:trPr>
        <w:tc>
          <w:tcPr>
            <w:tcW w:w="15871" w:type="dxa"/>
            <w:gridSpan w:val="6"/>
            <w:shd w:val="clear" w:color="auto" w:fill="FFFF00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280CCF">
        <w:trPr>
          <w:trHeight w:val="335"/>
        </w:trPr>
        <w:tc>
          <w:tcPr>
            <w:tcW w:w="3180" w:type="dxa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 xml:space="preserve">Week 1 </w:t>
            </w:r>
          </w:p>
        </w:tc>
        <w:tc>
          <w:tcPr>
            <w:tcW w:w="2571" w:type="dxa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Week 2</w:t>
            </w:r>
          </w:p>
        </w:tc>
        <w:tc>
          <w:tcPr>
            <w:tcW w:w="2528" w:type="dxa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Week 3</w:t>
            </w:r>
          </w:p>
        </w:tc>
        <w:tc>
          <w:tcPr>
            <w:tcW w:w="2372" w:type="dxa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Week 4</w:t>
            </w:r>
          </w:p>
        </w:tc>
        <w:tc>
          <w:tcPr>
            <w:tcW w:w="2420" w:type="dxa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Week 5</w:t>
            </w:r>
          </w:p>
        </w:tc>
        <w:tc>
          <w:tcPr>
            <w:tcW w:w="2800" w:type="dxa"/>
          </w:tcPr>
          <w:p w:rsidR="009C683D" w:rsidRPr="00280CCF" w:rsidRDefault="009C683D" w:rsidP="00280CCF">
            <w:pPr>
              <w:pStyle w:val="Header"/>
              <w:jc w:val="cent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 xml:space="preserve">Week 6 </w:t>
            </w:r>
          </w:p>
        </w:tc>
      </w:tr>
      <w:tr w:rsidR="009C683D" w:rsidTr="00280CCF">
        <w:trPr>
          <w:trHeight w:val="688"/>
        </w:trPr>
        <w:tc>
          <w:tcPr>
            <w:tcW w:w="3180" w:type="dxa"/>
            <w:vAlign w:val="center"/>
          </w:tcPr>
          <w:p w:rsidR="009C683D" w:rsidRDefault="005B3A5E" w:rsidP="00280CCF">
            <w:pPr>
              <w:pStyle w:val="Head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WALT</w:t>
            </w:r>
            <w:r w:rsidR="00007ACD" w:rsidRPr="00280CCF">
              <w:rPr>
                <w:rFonts w:ascii="Comic Sans MS" w:hAnsi="Comic Sans MS"/>
              </w:rPr>
              <w:t xml:space="preserve"> understand chronological language</w:t>
            </w:r>
          </w:p>
          <w:p w:rsidR="00801340" w:rsidRPr="00280CCF" w:rsidRDefault="00801340" w:rsidP="00280CC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(Refer to previous knowledge, children’s own chronology and recent history)</w:t>
            </w:r>
          </w:p>
        </w:tc>
        <w:tc>
          <w:tcPr>
            <w:tcW w:w="2571" w:type="dxa"/>
            <w:vAlign w:val="center"/>
          </w:tcPr>
          <w:p w:rsidR="009C683D" w:rsidRPr="00280CCF" w:rsidRDefault="00345CBE" w:rsidP="00B963E3">
            <w:pPr>
              <w:pStyle w:val="Head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 xml:space="preserve">WALT </w:t>
            </w:r>
            <w:r w:rsidR="00B963E3">
              <w:rPr>
                <w:rFonts w:ascii="Comic Sans MS" w:hAnsi="Comic Sans MS"/>
              </w:rPr>
              <w:t>understand continuity and change</w:t>
            </w:r>
          </w:p>
        </w:tc>
        <w:tc>
          <w:tcPr>
            <w:tcW w:w="2528" w:type="dxa"/>
            <w:vAlign w:val="center"/>
          </w:tcPr>
          <w:p w:rsidR="009C683D" w:rsidRPr="00280CCF" w:rsidRDefault="00420B09" w:rsidP="00280CCF">
            <w:pPr>
              <w:pStyle w:val="Head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WALT</w:t>
            </w:r>
            <w:r w:rsidR="00007ACD" w:rsidRPr="00280CCF">
              <w:rPr>
                <w:rFonts w:ascii="Comic Sans MS" w:hAnsi="Comic Sans MS"/>
              </w:rPr>
              <w:t xml:space="preserve"> </w:t>
            </w:r>
            <w:r w:rsidR="00C97DA7" w:rsidRPr="00280CCF">
              <w:rPr>
                <w:rFonts w:ascii="Comic Sans MS" w:hAnsi="Comic Sans MS"/>
              </w:rPr>
              <w:t xml:space="preserve">know how to </w:t>
            </w:r>
            <w:r w:rsidR="00007ACD" w:rsidRPr="00280CCF">
              <w:rPr>
                <w:rFonts w:ascii="Comic Sans MS" w:hAnsi="Comic Sans MS"/>
              </w:rPr>
              <w:t>extract information from sources</w:t>
            </w:r>
          </w:p>
        </w:tc>
        <w:tc>
          <w:tcPr>
            <w:tcW w:w="2372" w:type="dxa"/>
            <w:vAlign w:val="center"/>
          </w:tcPr>
          <w:p w:rsidR="009C683D" w:rsidRPr="00280CCF" w:rsidRDefault="00E93EF1" w:rsidP="00280CCF">
            <w:pPr>
              <w:pStyle w:val="Head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WALT know how to</w:t>
            </w:r>
            <w:r w:rsidR="00007ACD" w:rsidRPr="00280CCF">
              <w:rPr>
                <w:rFonts w:ascii="Comic Sans MS" w:hAnsi="Comic Sans MS"/>
              </w:rPr>
              <w:t xml:space="preserve"> extract and interpret sources of information</w:t>
            </w:r>
          </w:p>
        </w:tc>
        <w:tc>
          <w:tcPr>
            <w:tcW w:w="2420" w:type="dxa"/>
            <w:vAlign w:val="center"/>
          </w:tcPr>
          <w:p w:rsidR="001E1DEB" w:rsidRPr="00280CCF" w:rsidRDefault="00007ACD" w:rsidP="00280CCF">
            <w:pPr>
              <w:pStyle w:val="Head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WALT understand limitations of historical sources</w:t>
            </w:r>
          </w:p>
        </w:tc>
        <w:tc>
          <w:tcPr>
            <w:tcW w:w="2800" w:type="dxa"/>
            <w:vAlign w:val="center"/>
          </w:tcPr>
          <w:p w:rsidR="009C683D" w:rsidRPr="00280CCF" w:rsidRDefault="005B3A5E" w:rsidP="00280CCF">
            <w:pPr>
              <w:pStyle w:val="Header"/>
              <w:rPr>
                <w:rFonts w:ascii="Comic Sans MS" w:hAnsi="Comic Sans MS"/>
              </w:rPr>
            </w:pPr>
            <w:r w:rsidRPr="00280CCF">
              <w:rPr>
                <w:rFonts w:ascii="Comic Sans MS" w:hAnsi="Comic Sans MS"/>
              </w:rPr>
              <w:t>WALT use sources to draw conclusions</w:t>
            </w:r>
            <w:r w:rsidR="0016343E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1E1DEB" w:rsidRPr="00280CCF">
              <w:rPr>
                <w:rFonts w:ascii="Comic Sans MS" w:hAnsi="Comic Sans MS"/>
              </w:rPr>
              <w:t xml:space="preserve">– Is Skara Brae </w:t>
            </w:r>
            <w:proofErr w:type="gramStart"/>
            <w:r w:rsidR="001E1DEB" w:rsidRPr="00280CCF">
              <w:rPr>
                <w:rFonts w:ascii="Comic Sans MS" w:hAnsi="Comic Sans MS"/>
              </w:rPr>
              <w:t>significant?</w:t>
            </w:r>
            <w:proofErr w:type="gramEnd"/>
          </w:p>
        </w:tc>
      </w:tr>
      <w:tr w:rsidR="009C683D" w:rsidTr="00280CCF">
        <w:trPr>
          <w:trHeight w:val="407"/>
        </w:trPr>
        <w:tc>
          <w:tcPr>
            <w:tcW w:w="15871" w:type="dxa"/>
            <w:gridSpan w:val="6"/>
            <w:shd w:val="clear" w:color="auto" w:fill="FFFF00"/>
          </w:tcPr>
          <w:p w:rsidR="009C683D" w:rsidRPr="00280CCF" w:rsidRDefault="00583BED" w:rsidP="00280CCF">
            <w:pPr>
              <w:pStyle w:val="Default"/>
              <w:jc w:val="center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280CCF">
              <w:rPr>
                <w:rFonts w:ascii="Comic Sans MS" w:hAnsi="Comic Sans MS"/>
                <w:b/>
                <w:sz w:val="22"/>
                <w:szCs w:val="22"/>
              </w:rPr>
              <w:t>Unit Description</w:t>
            </w:r>
          </w:p>
        </w:tc>
      </w:tr>
      <w:tr w:rsidR="009C683D" w:rsidTr="00280CCF">
        <w:trPr>
          <w:trHeight w:val="688"/>
        </w:trPr>
        <w:tc>
          <w:tcPr>
            <w:tcW w:w="15871" w:type="dxa"/>
            <w:gridSpan w:val="6"/>
          </w:tcPr>
          <w:p w:rsidR="009C683D" w:rsidRPr="00280CCF" w:rsidRDefault="00C13CA7" w:rsidP="00280CCF">
            <w:pPr>
              <w:pStyle w:val="Default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The children will </w:t>
            </w:r>
            <w:r w:rsidR="00C97DA7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learn</w:t>
            </w:r>
            <w:r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about the different eras of the Stone Age to Iron Age with a focus on sequencing and duration.</w:t>
            </w:r>
            <w:r w:rsidR="00C97DA7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</w:t>
            </w:r>
            <w:r w:rsidR="00C97DA7" w:rsidRPr="00280CC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97DA7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They will learn some key information about each era of the Stone Age then compare and contrast periods using said information. </w:t>
            </w:r>
            <w:r w:rsidR="00C97DA7" w:rsidRPr="00280CC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97DA7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They will understand archaeology as the key source of evidence for Pre-History. They will use these skills to draw conclusions and apply the archaeology to eras of the Stone Age. </w:t>
            </w:r>
            <w:r w:rsidR="00C97DA7" w:rsidRPr="00280CCF">
              <w:rPr>
                <w:rFonts w:ascii="Comic Sans MS" w:hAnsi="Comic Sans MS"/>
                <w:sz w:val="22"/>
                <w:szCs w:val="22"/>
              </w:rPr>
              <w:t xml:space="preserve">  At the end of the unit the children will apply their source skills to identify what </w:t>
            </w:r>
            <w:r w:rsidR="00345CBE" w:rsidRPr="00280CCF">
              <w:rPr>
                <w:rFonts w:ascii="Comic Sans MS" w:hAnsi="Comic Sans MS"/>
                <w:sz w:val="22"/>
                <w:szCs w:val="22"/>
              </w:rPr>
              <w:t>Skara Brae is showing,</w:t>
            </w:r>
            <w:r w:rsidR="00C97DA7" w:rsidRPr="00280CCF">
              <w:rPr>
                <w:rFonts w:ascii="Comic Sans MS" w:hAnsi="Comic Sans MS"/>
                <w:sz w:val="22"/>
                <w:szCs w:val="22"/>
              </w:rPr>
              <w:t xml:space="preserve"> t</w:t>
            </w:r>
            <w:r w:rsidR="00345CBE" w:rsidRPr="00280CCF">
              <w:rPr>
                <w:rFonts w:ascii="Comic Sans MS" w:hAnsi="Comic Sans MS"/>
                <w:sz w:val="22"/>
                <w:szCs w:val="22"/>
              </w:rPr>
              <w:t>hen</w:t>
            </w:r>
            <w:r w:rsidR="00C97DA7" w:rsidRPr="00280CCF">
              <w:rPr>
                <w:rFonts w:ascii="Comic Sans MS" w:hAnsi="Comic Sans MS"/>
                <w:sz w:val="22"/>
                <w:szCs w:val="22"/>
              </w:rPr>
              <w:t xml:space="preserve"> follow with questions they want to ask to deepen their understanding. Once answered, they will draw conclusions as to the purpose of the site.</w:t>
            </w:r>
            <w:r w:rsidR="00282C64">
              <w:rPr>
                <w:rFonts w:ascii="Comic Sans MS" w:hAnsi="Comic Sans MS"/>
                <w:sz w:val="22"/>
                <w:szCs w:val="22"/>
              </w:rPr>
              <w:t xml:space="preserve"> They will also get first-hand experience handling artefacts at </w:t>
            </w:r>
            <w:proofErr w:type="spellStart"/>
            <w:r w:rsidR="00282C64">
              <w:rPr>
                <w:rFonts w:ascii="Comic Sans MS" w:hAnsi="Comic Sans MS"/>
                <w:sz w:val="22"/>
                <w:szCs w:val="22"/>
              </w:rPr>
              <w:t>Penlee</w:t>
            </w:r>
            <w:proofErr w:type="spellEnd"/>
            <w:r w:rsidR="00282C64">
              <w:rPr>
                <w:rFonts w:ascii="Comic Sans MS" w:hAnsi="Comic Sans MS"/>
                <w:sz w:val="22"/>
                <w:szCs w:val="22"/>
              </w:rPr>
              <w:t xml:space="preserve"> House Museum. </w:t>
            </w:r>
          </w:p>
        </w:tc>
      </w:tr>
      <w:tr w:rsidR="00583BED" w:rsidTr="00280CCF">
        <w:trPr>
          <w:trHeight w:val="419"/>
        </w:trPr>
        <w:tc>
          <w:tcPr>
            <w:tcW w:w="15871" w:type="dxa"/>
            <w:gridSpan w:val="6"/>
            <w:shd w:val="clear" w:color="auto" w:fill="FFFF00"/>
          </w:tcPr>
          <w:p w:rsidR="00583BED" w:rsidRPr="00280CCF" w:rsidRDefault="00583BED" w:rsidP="00280CCF">
            <w:pPr>
              <w:pStyle w:val="Default"/>
              <w:jc w:val="center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Key Vocabulary</w:t>
            </w:r>
          </w:p>
        </w:tc>
      </w:tr>
      <w:tr w:rsidR="00583BED" w:rsidTr="00280CCF">
        <w:trPr>
          <w:trHeight w:val="688"/>
        </w:trPr>
        <w:tc>
          <w:tcPr>
            <w:tcW w:w="15871" w:type="dxa"/>
            <w:gridSpan w:val="6"/>
          </w:tcPr>
          <w:p w:rsidR="00583BED" w:rsidRPr="00280CCF" w:rsidRDefault="002C5E2B" w:rsidP="00280CCF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Mesolithic, Palaeolithic, Neolithic,</w:t>
            </w:r>
            <w:r w:rsidR="003E7B9B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flint, hand</w:t>
            </w:r>
            <w:r w:rsidR="008226D0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</w:t>
            </w:r>
            <w:r w:rsidR="003E7B9B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axe, Stone Age, Bronze Age, Iron Age, chisel, dagger, Early Briton, homo</w:t>
            </w:r>
            <w:r w:rsidR="008226D0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</w:t>
            </w:r>
            <w:r w:rsidR="003E7B9B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sapien, hunter gatherer, tomb, fort, monument, nomadic, animal skin, bone, antlers</w:t>
            </w:r>
            <w:r w:rsidR="00CC5532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, Ice Age, shelter, Skara Brae, forage, thatched, Pre-</w:t>
            </w:r>
            <w:r w:rsidR="00BD7D81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history, Romans, tribe, Orkney I</w:t>
            </w:r>
            <w:r w:rsidR="00CC5532"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>slands</w:t>
            </w:r>
          </w:p>
        </w:tc>
      </w:tr>
      <w:tr w:rsidR="009C683D" w:rsidTr="00280CCF">
        <w:trPr>
          <w:trHeight w:val="428"/>
        </w:trPr>
        <w:tc>
          <w:tcPr>
            <w:tcW w:w="15871" w:type="dxa"/>
            <w:gridSpan w:val="6"/>
            <w:shd w:val="clear" w:color="auto" w:fill="FFFF00"/>
          </w:tcPr>
          <w:p w:rsidR="009C683D" w:rsidRPr="00280CCF" w:rsidRDefault="009C683D" w:rsidP="00280CCF">
            <w:pPr>
              <w:pStyle w:val="Default"/>
              <w:jc w:val="center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280CCF">
        <w:trPr>
          <w:trHeight w:val="558"/>
        </w:trPr>
        <w:tc>
          <w:tcPr>
            <w:tcW w:w="15871" w:type="dxa"/>
            <w:gridSpan w:val="6"/>
          </w:tcPr>
          <w:p w:rsidR="00583BED" w:rsidRPr="00280CCF" w:rsidRDefault="00583BED" w:rsidP="00282C64">
            <w:pPr>
              <w:pStyle w:val="Default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Chronological understanding</w:t>
            </w:r>
            <w:r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– children can sequence eras, can use a scale to understand duration, understand duration as a measure of long events last for. </w:t>
            </w:r>
            <w:r w:rsidRPr="00280CCF">
              <w:rPr>
                <w:sz w:val="22"/>
                <w:szCs w:val="22"/>
              </w:rPr>
              <w:t xml:space="preserve"> </w:t>
            </w:r>
          </w:p>
          <w:p w:rsidR="00583BED" w:rsidRPr="00280CCF" w:rsidRDefault="00583BED" w:rsidP="00282C64">
            <w:pPr>
              <w:pStyle w:val="Default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lastRenderedPageBreak/>
              <w:t>Source Analysis and Interpretation</w:t>
            </w:r>
            <w:r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– children can extract information from various types of source (artefact, pictorial, written), interpret information from various sources, draw conclusions from sources with support.</w:t>
            </w:r>
            <w:r w:rsidRPr="00280CCF">
              <w:rPr>
                <w:sz w:val="22"/>
                <w:szCs w:val="22"/>
              </w:rPr>
              <w:t xml:space="preserve"> </w:t>
            </w:r>
          </w:p>
          <w:p w:rsidR="00CD6D6E" w:rsidRDefault="00583BED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280CC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Historical Enquiry</w:t>
            </w:r>
            <w:r w:rsidRPr="00280CC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- ask questions to deepen understanding, locate answers to own and given questions, draw conclusions based on source work.</w:t>
            </w:r>
          </w:p>
          <w:p w:rsid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From C. Quigley to sort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Use evidence to ask questions and find answers to questions about the past.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Suggest suitable sources of evidence for historical enquiries.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Use more than one source of evidence for historical enquiry in order to gain a more accurate understanding of history.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Describe different accounts of a historical event, explaining some of the reasons why the accounts may differ.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Suggest causes and consequences of some of the main events and changes in history.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Describe changes that have happened in the locality of the school throughout history.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Give a broad overview of life in Britain from ancient until medieval times.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Compare some of the times studied with those of other areas of interest around the world.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Describe the social, ethnic, cultural or religious diversity of past society.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lastRenderedPageBreak/>
              <w:t>• Describe the characteristic features of the past, including ideas, beliefs, attitudes and experiences of men, women and children.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Place events, artefacts and historical figures on a time line using dates.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Understand the concept of change over time, representing this, along with evidence, on a time line.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Use dates and terms to describe events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Use appropriate historical vocabul</w:t>
            </w: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 xml:space="preserve">ary to communicate, including: 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 xml:space="preserve">dates 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 xml:space="preserve">    • time period 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 xml:space="preserve">    • era 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 xml:space="preserve">    • change </w:t>
            </w:r>
          </w:p>
          <w:p w:rsidR="00282C64" w:rsidRPr="00282C64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 xml:space="preserve">    • </w:t>
            </w:r>
            <w:proofErr w:type="gramStart"/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chronology</w:t>
            </w:r>
            <w:proofErr w:type="gramEnd"/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.</w:t>
            </w:r>
          </w:p>
          <w:p w:rsidR="00282C64" w:rsidRPr="00280CCF" w:rsidRDefault="00282C64" w:rsidP="00282C6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282C64">
              <w:rPr>
                <w:rFonts w:ascii="Comic Sans MS" w:hAnsi="Comic Sans MS" w:cstheme="minorBidi"/>
                <w:color w:val="auto"/>
                <w:sz w:val="22"/>
                <w:szCs w:val="22"/>
                <w:highlight w:val="yellow"/>
              </w:rPr>
              <w:t>• Use literacy, numeracy and computing skills to a good standard in order to communicate information about the past.</w:t>
            </w:r>
          </w:p>
        </w:tc>
      </w:tr>
    </w:tbl>
    <w:p w:rsidR="00696954" w:rsidRDefault="00696954" w:rsidP="00282C64">
      <w:pPr>
        <w:spacing w:line="240" w:lineRule="auto"/>
      </w:pPr>
    </w:p>
    <w:sectPr w:rsidR="00696954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280CCF" w:rsidRDefault="000658AB" w:rsidP="00390C7F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280CCF">
      <w:rPr>
        <w:rFonts w:ascii="Comic Sans MS" w:hAnsi="Comic Sans MS"/>
        <w:b/>
        <w:sz w:val="32"/>
        <w:szCs w:val="32"/>
        <w:u w:val="single"/>
      </w:rPr>
      <w:t xml:space="preserve">Changes in Britain from the </w:t>
    </w:r>
    <w:r w:rsidR="006F747D" w:rsidRPr="00280CCF">
      <w:rPr>
        <w:rFonts w:ascii="Comic Sans MS" w:hAnsi="Comic Sans MS"/>
        <w:b/>
        <w:sz w:val="32"/>
        <w:szCs w:val="32"/>
        <w:u w:val="single"/>
      </w:rPr>
      <w:t>Stone Age to Iron Age</w:t>
    </w:r>
  </w:p>
  <w:p w:rsidR="000B53F0" w:rsidRDefault="00390C7F" w:rsidP="00390C7F">
    <w:pPr>
      <w:pStyle w:val="Header"/>
      <w:jc w:val="center"/>
      <w:rPr>
        <w:rFonts w:ascii="Comic Sans MS" w:hAnsi="Comic Sans MS"/>
      </w:rPr>
    </w:pPr>
    <w:r w:rsidRPr="006F747D">
      <w:rPr>
        <w:rFonts w:ascii="Comic Sans MS" w:hAnsi="Comic Sans MS"/>
      </w:rPr>
      <w:t xml:space="preserve"> </w:t>
    </w:r>
  </w:p>
  <w:p w:rsidR="00390C7F" w:rsidRPr="000B53F0" w:rsidRDefault="000658AB" w:rsidP="00390C7F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History </w:t>
    </w:r>
    <w:r w:rsidR="00390C7F" w:rsidRPr="000B53F0">
      <w:rPr>
        <w:rFonts w:ascii="Comic Sans MS" w:hAnsi="Comic Sans MS"/>
        <w:sz w:val="32"/>
        <w:szCs w:val="32"/>
      </w:rPr>
      <w:t xml:space="preserve">Medium Term Planning: </w:t>
    </w:r>
    <w:r w:rsidR="004B5DDD" w:rsidRPr="000B53F0">
      <w:rPr>
        <w:rFonts w:ascii="Comic Sans MS" w:hAnsi="Comic Sans MS"/>
        <w:sz w:val="32"/>
        <w:szCs w:val="32"/>
      </w:rPr>
      <w:t>Year</w:t>
    </w:r>
    <w:r w:rsidR="006F747D" w:rsidRPr="000B53F0">
      <w:rPr>
        <w:rFonts w:ascii="Comic Sans MS" w:hAnsi="Comic Sans MS"/>
        <w:sz w:val="32"/>
        <w:szCs w:val="32"/>
      </w:rPr>
      <w:t xml:space="preserve"> 3</w:t>
    </w:r>
    <w:r w:rsidR="004B5DDD" w:rsidRPr="000B53F0">
      <w:rPr>
        <w:rFonts w:ascii="Comic Sans MS" w:hAnsi="Comic Sans MS"/>
        <w:sz w:val="32"/>
        <w:szCs w:val="32"/>
      </w:rPr>
      <w:t xml:space="preserve"> </w:t>
    </w:r>
    <w:r w:rsidR="00390C7F" w:rsidRPr="000B53F0">
      <w:rPr>
        <w:rFonts w:ascii="Comic Sans MS" w:hAnsi="Comic Sans MS"/>
        <w:sz w:val="32"/>
        <w:szCs w:val="32"/>
      </w:rPr>
      <w:t xml:space="preserve"> </w:t>
    </w:r>
  </w:p>
  <w:p w:rsidR="00390C7F" w:rsidRDefault="00390C7F" w:rsidP="00390C7F">
    <w:pPr>
      <w:pStyle w:val="Header"/>
      <w:jc w:val="center"/>
    </w:pPr>
  </w:p>
  <w:p w:rsidR="00280CCF" w:rsidRDefault="00280CC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07ACD"/>
    <w:rsid w:val="000658AB"/>
    <w:rsid w:val="000B53F0"/>
    <w:rsid w:val="0016343E"/>
    <w:rsid w:val="001E1DEB"/>
    <w:rsid w:val="00280CCF"/>
    <w:rsid w:val="00282C64"/>
    <w:rsid w:val="002C5E2B"/>
    <w:rsid w:val="002E6C1D"/>
    <w:rsid w:val="00345CBE"/>
    <w:rsid w:val="00390C7F"/>
    <w:rsid w:val="003C01A0"/>
    <w:rsid w:val="003E7B9B"/>
    <w:rsid w:val="00420B09"/>
    <w:rsid w:val="004B5DDD"/>
    <w:rsid w:val="005001F3"/>
    <w:rsid w:val="00583BED"/>
    <w:rsid w:val="005B3A5E"/>
    <w:rsid w:val="00677471"/>
    <w:rsid w:val="00696954"/>
    <w:rsid w:val="006F747D"/>
    <w:rsid w:val="00704DBF"/>
    <w:rsid w:val="00801340"/>
    <w:rsid w:val="008226D0"/>
    <w:rsid w:val="00823226"/>
    <w:rsid w:val="008D2620"/>
    <w:rsid w:val="009C683D"/>
    <w:rsid w:val="00B963E3"/>
    <w:rsid w:val="00BD7D81"/>
    <w:rsid w:val="00C07F6F"/>
    <w:rsid w:val="00C13CA7"/>
    <w:rsid w:val="00C97DA7"/>
    <w:rsid w:val="00CC5532"/>
    <w:rsid w:val="00CD6D6E"/>
    <w:rsid w:val="00E22178"/>
    <w:rsid w:val="00E93EF1"/>
    <w:rsid w:val="00EA683A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FD767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7D8C-CC39-40C4-B608-D529B8F1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21</cp:revision>
  <dcterms:created xsi:type="dcterms:W3CDTF">2019-10-25T18:22:00Z</dcterms:created>
  <dcterms:modified xsi:type="dcterms:W3CDTF">2020-05-05T18:22:00Z</dcterms:modified>
</cp:coreProperties>
</file>