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2588"/>
      </w:tblGrid>
      <w:tr w:rsidR="009C683D" w:rsidTr="004B5DDD">
        <w:trPr>
          <w:trHeight w:val="335"/>
        </w:trPr>
        <w:tc>
          <w:tcPr>
            <w:tcW w:w="15228" w:type="dxa"/>
            <w:gridSpan w:val="6"/>
            <w:shd w:val="clear" w:color="auto" w:fill="FFFF00"/>
          </w:tcPr>
          <w:p w:rsidR="009C683D" w:rsidRPr="009C683D" w:rsidRDefault="009C683D" w:rsidP="00CF58E9">
            <w:pPr>
              <w:pStyle w:val="Header"/>
              <w:jc w:val="center"/>
              <w:rPr>
                <w:rFonts w:ascii="Comic Sans MS" w:hAnsi="Comic Sans MS"/>
              </w:rPr>
            </w:pPr>
            <w:r w:rsidRPr="009C683D">
              <w:rPr>
                <w:rFonts w:ascii="Comic Sans MS" w:hAnsi="Comic Sans MS"/>
              </w:rPr>
              <w:t xml:space="preserve"> </w:t>
            </w:r>
            <w:r w:rsidR="00552CEA">
              <w:rPr>
                <w:rFonts w:ascii="Comic Sans MS" w:hAnsi="Comic Sans MS"/>
              </w:rPr>
              <w:t>Forces</w:t>
            </w:r>
          </w:p>
        </w:tc>
      </w:tr>
      <w:tr w:rsidR="009C683D" w:rsidTr="004B5DDD">
        <w:trPr>
          <w:trHeight w:val="335"/>
        </w:trPr>
        <w:tc>
          <w:tcPr>
            <w:tcW w:w="2749" w:type="dxa"/>
          </w:tcPr>
          <w:p w:rsidR="009C683D" w:rsidRDefault="009C683D" w:rsidP="004B5DDD">
            <w:pPr>
              <w:pStyle w:val="Header"/>
              <w:jc w:val="center"/>
            </w:pPr>
            <w:r>
              <w:t xml:space="preserve">Week 1 </w:t>
            </w:r>
          </w:p>
        </w:tc>
        <w:tc>
          <w:tcPr>
            <w:tcW w:w="2571" w:type="dxa"/>
          </w:tcPr>
          <w:p w:rsidR="009C683D" w:rsidRDefault="009C683D" w:rsidP="004B5DDD">
            <w:pPr>
              <w:pStyle w:val="Header"/>
              <w:jc w:val="center"/>
            </w:pPr>
            <w:r>
              <w:t>Week 2</w:t>
            </w:r>
          </w:p>
        </w:tc>
        <w:tc>
          <w:tcPr>
            <w:tcW w:w="2528" w:type="dxa"/>
          </w:tcPr>
          <w:p w:rsidR="009C683D" w:rsidRDefault="009C683D" w:rsidP="004B5DDD">
            <w:pPr>
              <w:pStyle w:val="Header"/>
              <w:jc w:val="center"/>
            </w:pPr>
            <w:r>
              <w:t>Week 3</w:t>
            </w:r>
          </w:p>
        </w:tc>
        <w:tc>
          <w:tcPr>
            <w:tcW w:w="2372" w:type="dxa"/>
          </w:tcPr>
          <w:p w:rsidR="009C683D" w:rsidRPr="00B21D29" w:rsidRDefault="009C683D" w:rsidP="004B5DDD">
            <w:pPr>
              <w:pStyle w:val="Header"/>
              <w:jc w:val="center"/>
            </w:pPr>
            <w:r w:rsidRPr="00B21D29">
              <w:t>Week 4</w:t>
            </w:r>
          </w:p>
        </w:tc>
        <w:tc>
          <w:tcPr>
            <w:tcW w:w="2420" w:type="dxa"/>
          </w:tcPr>
          <w:p w:rsidR="009C683D" w:rsidRDefault="009C683D" w:rsidP="004B5DDD">
            <w:pPr>
              <w:pStyle w:val="Header"/>
              <w:jc w:val="center"/>
            </w:pPr>
            <w:r>
              <w:t>Week 5</w:t>
            </w:r>
          </w:p>
        </w:tc>
        <w:tc>
          <w:tcPr>
            <w:tcW w:w="2588" w:type="dxa"/>
          </w:tcPr>
          <w:p w:rsidR="009C683D" w:rsidRDefault="009C683D" w:rsidP="004B5DDD">
            <w:pPr>
              <w:pStyle w:val="Header"/>
              <w:jc w:val="center"/>
            </w:pPr>
            <w:r>
              <w:t xml:space="preserve">Week 6 </w:t>
            </w:r>
          </w:p>
        </w:tc>
      </w:tr>
      <w:tr w:rsidR="00417FAD" w:rsidTr="004B5DDD">
        <w:trPr>
          <w:trHeight w:val="688"/>
        </w:trPr>
        <w:tc>
          <w:tcPr>
            <w:tcW w:w="2749" w:type="dxa"/>
          </w:tcPr>
          <w:p w:rsidR="00B21D29" w:rsidRPr="00A50318" w:rsidRDefault="005E64E5" w:rsidP="005E64E5">
            <w:pPr>
              <w:rPr>
                <w:rFonts w:ascii="Arial" w:hAnsi="Arial" w:cs="Arial"/>
                <w:b/>
              </w:rPr>
            </w:pPr>
            <w:r>
              <w:rPr>
                <w:rFonts w:ascii="Arial" w:hAnsi="Arial" w:cs="Arial"/>
                <w:b/>
              </w:rPr>
              <w:t xml:space="preserve">WALT understand  materials properties and their uses </w:t>
            </w:r>
          </w:p>
        </w:tc>
        <w:tc>
          <w:tcPr>
            <w:tcW w:w="2571" w:type="dxa"/>
          </w:tcPr>
          <w:p w:rsidR="0078317B" w:rsidRDefault="005E64E5" w:rsidP="008673BC">
            <w:pPr>
              <w:rPr>
                <w:rFonts w:ascii="Comic Sans MS" w:hAnsi="Comic Sans MS"/>
                <w:b/>
              </w:rPr>
            </w:pPr>
            <w:r>
              <w:rPr>
                <w:rFonts w:ascii="Comic Sans MS" w:hAnsi="Comic Sans MS"/>
                <w:b/>
              </w:rPr>
              <w:t>WALT understand what thermal conductors and insulators are</w:t>
            </w:r>
          </w:p>
          <w:p w:rsidR="005E64E5" w:rsidRPr="008673BC" w:rsidRDefault="005E64E5" w:rsidP="008673BC">
            <w:pPr>
              <w:rPr>
                <w:rFonts w:ascii="Comic Sans MS" w:hAnsi="Comic Sans MS"/>
                <w:b/>
              </w:rPr>
            </w:pPr>
            <w:r>
              <w:rPr>
                <w:rFonts w:ascii="Comic Sans MS" w:hAnsi="Comic Sans MS"/>
                <w:b/>
              </w:rPr>
              <w:t xml:space="preserve">WALT understand how to plan an enquiry, controlling variables where necessary. </w:t>
            </w:r>
          </w:p>
        </w:tc>
        <w:tc>
          <w:tcPr>
            <w:tcW w:w="2528" w:type="dxa"/>
          </w:tcPr>
          <w:p w:rsidR="00B21D29" w:rsidRPr="005E64E5" w:rsidRDefault="005E64E5" w:rsidP="00417FAD">
            <w:pPr>
              <w:pStyle w:val="Header"/>
              <w:rPr>
                <w:rFonts w:ascii="Comic Sans MS" w:hAnsi="Comic Sans MS"/>
                <w:b/>
              </w:rPr>
            </w:pPr>
            <w:r w:rsidRPr="005E64E5">
              <w:rPr>
                <w:rFonts w:ascii="Comic Sans MS" w:hAnsi="Comic Sans MS"/>
                <w:b/>
              </w:rPr>
              <w:t>WALT understand the difference between melting and dissolving.</w:t>
            </w:r>
          </w:p>
          <w:p w:rsidR="005E64E5" w:rsidRPr="00390C7F" w:rsidRDefault="005E64E5" w:rsidP="00417FAD">
            <w:pPr>
              <w:pStyle w:val="Header"/>
              <w:rPr>
                <w:rFonts w:ascii="Comic Sans MS" w:hAnsi="Comic Sans MS"/>
              </w:rPr>
            </w:pPr>
            <w:r w:rsidRPr="005E64E5">
              <w:rPr>
                <w:rFonts w:ascii="Comic Sans MS" w:hAnsi="Comic Sans MS"/>
                <w:b/>
              </w:rPr>
              <w:t>WALT use appropriate techniques to carry out a solubility Investigation.</w:t>
            </w:r>
            <w:r>
              <w:rPr>
                <w:rFonts w:ascii="Comic Sans MS" w:hAnsi="Comic Sans MS"/>
              </w:rPr>
              <w:t xml:space="preserve"> </w:t>
            </w:r>
          </w:p>
        </w:tc>
        <w:tc>
          <w:tcPr>
            <w:tcW w:w="2372" w:type="dxa"/>
          </w:tcPr>
          <w:p w:rsidR="005E64E5" w:rsidRPr="005E64E5" w:rsidRDefault="00B21D29" w:rsidP="005E64E5">
            <w:pPr>
              <w:rPr>
                <w:rFonts w:ascii="Candara" w:hAnsi="Candara"/>
                <w:b/>
              </w:rPr>
            </w:pPr>
            <w:r>
              <w:rPr>
                <w:rFonts w:ascii="Candara" w:hAnsi="Candara"/>
                <w:b/>
              </w:rPr>
              <w:t xml:space="preserve"> </w:t>
            </w:r>
            <w:r w:rsidR="005E64E5">
              <w:rPr>
                <w:rFonts w:ascii="Candara" w:hAnsi="Candara"/>
                <w:b/>
              </w:rPr>
              <w:t xml:space="preserve">WALT </w:t>
            </w:r>
            <w:r w:rsidR="005E64E5" w:rsidRPr="005E64E5">
              <w:rPr>
                <w:rFonts w:ascii="Candara" w:hAnsi="Candara"/>
                <w:b/>
              </w:rPr>
              <w:t>To use knowledge of solids, liquids and</w:t>
            </w:r>
          </w:p>
          <w:p w:rsidR="005E64E5" w:rsidRPr="005E64E5" w:rsidRDefault="005E64E5" w:rsidP="005E64E5">
            <w:pPr>
              <w:rPr>
                <w:rFonts w:ascii="Candara" w:hAnsi="Candara"/>
                <w:b/>
              </w:rPr>
            </w:pPr>
            <w:proofErr w:type="gramStart"/>
            <w:r w:rsidRPr="005E64E5">
              <w:rPr>
                <w:rFonts w:ascii="Candara" w:hAnsi="Candara"/>
                <w:b/>
              </w:rPr>
              <w:t>gases</w:t>
            </w:r>
            <w:proofErr w:type="gramEnd"/>
            <w:r w:rsidRPr="005E64E5">
              <w:rPr>
                <w:rFonts w:ascii="Candara" w:hAnsi="Candara"/>
                <w:b/>
              </w:rPr>
              <w:t xml:space="preserve"> to decide how mixtures</w:t>
            </w:r>
            <w:r>
              <w:rPr>
                <w:rFonts w:ascii="Candara" w:hAnsi="Candara"/>
                <w:b/>
              </w:rPr>
              <w:t xml:space="preserve"> and solutions</w:t>
            </w:r>
            <w:r w:rsidRPr="005E64E5">
              <w:rPr>
                <w:rFonts w:ascii="Candara" w:hAnsi="Candara"/>
                <w:b/>
              </w:rPr>
              <w:t xml:space="preserve"> might be</w:t>
            </w:r>
            <w:r>
              <w:rPr>
                <w:rFonts w:ascii="Candara" w:hAnsi="Candara"/>
                <w:b/>
              </w:rPr>
              <w:t xml:space="preserve"> </w:t>
            </w:r>
            <w:r w:rsidRPr="005E64E5">
              <w:rPr>
                <w:rFonts w:ascii="Candara" w:hAnsi="Candara"/>
                <w:b/>
              </w:rPr>
              <w:t>separated</w:t>
            </w:r>
            <w:r w:rsidR="003B3067">
              <w:rPr>
                <w:rFonts w:ascii="Candara" w:hAnsi="Candara"/>
                <w:b/>
              </w:rPr>
              <w:t xml:space="preserve"> and to report our findings scientifically. </w:t>
            </w:r>
          </w:p>
          <w:p w:rsidR="00B21D29" w:rsidRPr="00A50318" w:rsidRDefault="00B21D29" w:rsidP="005E64E5">
            <w:pPr>
              <w:rPr>
                <w:rFonts w:ascii="Candara" w:hAnsi="Candara"/>
                <w:b/>
              </w:rPr>
            </w:pPr>
          </w:p>
        </w:tc>
        <w:tc>
          <w:tcPr>
            <w:tcW w:w="2420" w:type="dxa"/>
          </w:tcPr>
          <w:p w:rsidR="00417FAD" w:rsidRPr="00A5043B" w:rsidRDefault="003B3067" w:rsidP="00417FAD">
            <w:pPr>
              <w:rPr>
                <w:b/>
              </w:rPr>
            </w:pPr>
            <w:r>
              <w:rPr>
                <w:b/>
              </w:rPr>
              <w:t xml:space="preserve">WALT understand the term irreversible change by using appropriate techniques to investigate. </w:t>
            </w:r>
          </w:p>
        </w:tc>
        <w:tc>
          <w:tcPr>
            <w:tcW w:w="2588" w:type="dxa"/>
          </w:tcPr>
          <w:p w:rsidR="00A50318" w:rsidRPr="00A5043B" w:rsidRDefault="00B21D29" w:rsidP="00417FAD">
            <w:pPr>
              <w:rPr>
                <w:b/>
              </w:rPr>
            </w:pPr>
            <w:r>
              <w:rPr>
                <w:b/>
              </w:rPr>
              <w:t>POP quiz</w:t>
            </w:r>
          </w:p>
        </w:tc>
      </w:tr>
      <w:tr w:rsidR="00417FAD" w:rsidTr="004B5DDD">
        <w:trPr>
          <w:trHeight w:val="407"/>
        </w:trPr>
        <w:tc>
          <w:tcPr>
            <w:tcW w:w="15228" w:type="dxa"/>
            <w:gridSpan w:val="6"/>
            <w:shd w:val="clear" w:color="auto" w:fill="FFFF00"/>
          </w:tcPr>
          <w:p w:rsidR="00417FAD" w:rsidRPr="00390C7F" w:rsidRDefault="00417FAD" w:rsidP="00417FAD">
            <w:pPr>
              <w:pStyle w:val="Default"/>
              <w:jc w:val="center"/>
              <w:rPr>
                <w:rFonts w:ascii="Comic Sans MS" w:hAnsi="Comic Sans MS" w:cstheme="minorBidi"/>
                <w:color w:val="auto"/>
                <w:sz w:val="22"/>
                <w:szCs w:val="22"/>
              </w:rPr>
            </w:pPr>
            <w:r>
              <w:rPr>
                <w:rFonts w:ascii="Comic Sans MS" w:hAnsi="Comic Sans MS"/>
              </w:rPr>
              <w:t>Key Vocabulary</w:t>
            </w:r>
          </w:p>
        </w:tc>
      </w:tr>
      <w:tr w:rsidR="00417FAD" w:rsidTr="004B5DDD">
        <w:trPr>
          <w:trHeight w:val="688"/>
        </w:trPr>
        <w:tc>
          <w:tcPr>
            <w:tcW w:w="15228" w:type="dxa"/>
            <w:gridSpan w:val="6"/>
          </w:tcPr>
          <w:p w:rsidR="00417FAD" w:rsidRPr="00FF5919" w:rsidRDefault="00FF5919" w:rsidP="00B21D29">
            <w:pPr>
              <w:autoSpaceDE w:val="0"/>
              <w:autoSpaceDN w:val="0"/>
              <w:adjustRightInd w:val="0"/>
              <w:rPr>
                <w:rFonts w:ascii="BPreplay" w:hAnsi="BPreplay" w:cs="BPreplay"/>
                <w:sz w:val="32"/>
                <w:szCs w:val="32"/>
              </w:rPr>
            </w:pPr>
            <w:bookmarkStart w:id="0" w:name="_GoBack"/>
            <w:r w:rsidRPr="00FF5919">
              <w:rPr>
                <w:rFonts w:ascii="BPreplay" w:hAnsi="BPreplay" w:cs="BPreplay"/>
                <w:sz w:val="32"/>
                <w:szCs w:val="32"/>
              </w:rPr>
              <w:t>Conductor, dissolve, evaporation, flexible, synthetic, natural, gas, insulator, irreversible, liquid, magnetic, material, opaque, reversible, soluble, solid, thermal, solution, mixture, sieve, fair test, variable, controlled.</w:t>
            </w:r>
            <w:bookmarkEnd w:id="0"/>
          </w:p>
        </w:tc>
      </w:tr>
      <w:tr w:rsidR="00417FAD" w:rsidTr="004B5DDD">
        <w:trPr>
          <w:trHeight w:val="428"/>
        </w:trPr>
        <w:tc>
          <w:tcPr>
            <w:tcW w:w="15228" w:type="dxa"/>
            <w:gridSpan w:val="6"/>
            <w:shd w:val="clear" w:color="auto" w:fill="FFFF00"/>
          </w:tcPr>
          <w:p w:rsidR="00417FAD" w:rsidRPr="00390C7F" w:rsidRDefault="00417FAD" w:rsidP="00417FA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417FAD" w:rsidTr="004B5DDD">
        <w:trPr>
          <w:trHeight w:val="688"/>
        </w:trPr>
        <w:tc>
          <w:tcPr>
            <w:tcW w:w="15228" w:type="dxa"/>
            <w:gridSpan w:val="6"/>
          </w:tcPr>
          <w:p w:rsidR="00B21D29" w:rsidRDefault="00B21D29" w:rsidP="00B21D29">
            <w:pPr>
              <w:pStyle w:val="Header"/>
              <w:numPr>
                <w:ilvl w:val="0"/>
                <w:numId w:val="13"/>
              </w:numPr>
              <w:rPr>
                <w:i/>
                <w:sz w:val="16"/>
                <w:szCs w:val="16"/>
              </w:rPr>
            </w:pPr>
            <w:r w:rsidRPr="003C3601">
              <w:rPr>
                <w:i/>
                <w:sz w:val="16"/>
                <w:szCs w:val="16"/>
              </w:rPr>
              <w:t>Plan enquiries, including recognising and controlling variables where necessary.</w:t>
            </w:r>
          </w:p>
          <w:p w:rsidR="00B21D29" w:rsidRPr="003C3601" w:rsidRDefault="00B21D29" w:rsidP="00B21D29">
            <w:pPr>
              <w:pStyle w:val="Header"/>
              <w:numPr>
                <w:ilvl w:val="0"/>
                <w:numId w:val="13"/>
              </w:numPr>
              <w:rPr>
                <w:i/>
                <w:sz w:val="16"/>
                <w:szCs w:val="16"/>
              </w:rPr>
            </w:pPr>
            <w:r w:rsidRPr="003C3601">
              <w:rPr>
                <w:i/>
                <w:sz w:val="16"/>
                <w:szCs w:val="16"/>
              </w:rPr>
              <w:t>Use appropriate techniques, apparatus, and materials during fieldwork and laboratory work.</w:t>
            </w:r>
          </w:p>
          <w:p w:rsidR="00B21D29" w:rsidRDefault="00B21D29" w:rsidP="00B21D29">
            <w:pPr>
              <w:pStyle w:val="Header"/>
              <w:numPr>
                <w:ilvl w:val="0"/>
                <w:numId w:val="13"/>
              </w:numPr>
              <w:rPr>
                <w:i/>
                <w:sz w:val="16"/>
                <w:szCs w:val="16"/>
              </w:rPr>
            </w:pPr>
            <w:r w:rsidRPr="003C3601">
              <w:rPr>
                <w:i/>
                <w:sz w:val="16"/>
                <w:szCs w:val="16"/>
              </w:rPr>
              <w:t>Take measurements, using a range of scientific equipment, with increasing accuracy and precision.</w:t>
            </w:r>
          </w:p>
          <w:p w:rsidR="00B21D29" w:rsidRPr="003C3601" w:rsidRDefault="00B21D29" w:rsidP="00B21D29">
            <w:pPr>
              <w:pStyle w:val="Header"/>
              <w:numPr>
                <w:ilvl w:val="0"/>
                <w:numId w:val="13"/>
              </w:numPr>
              <w:rPr>
                <w:i/>
                <w:sz w:val="16"/>
                <w:szCs w:val="16"/>
              </w:rPr>
            </w:pPr>
            <w:r w:rsidRPr="003C3601">
              <w:rPr>
                <w:i/>
                <w:sz w:val="16"/>
                <w:szCs w:val="16"/>
              </w:rPr>
              <w:t xml:space="preserve"> Record data and results of increasing complexity using scientific diagrams and labels, classification keys, tables, bar and line graphs, and models.</w:t>
            </w:r>
          </w:p>
          <w:p w:rsidR="00B21D29" w:rsidRDefault="00B21D29" w:rsidP="00B21D29">
            <w:pPr>
              <w:pStyle w:val="Header"/>
              <w:numPr>
                <w:ilvl w:val="0"/>
                <w:numId w:val="13"/>
              </w:numPr>
              <w:rPr>
                <w:i/>
                <w:sz w:val="16"/>
                <w:szCs w:val="16"/>
              </w:rPr>
            </w:pPr>
            <w:r w:rsidRPr="003C3601">
              <w:rPr>
                <w:i/>
                <w:sz w:val="16"/>
                <w:szCs w:val="16"/>
              </w:rPr>
              <w:t>Report findings from enquiries, including oral and written explanations of results, explanations involving causal relationships, and conclusions.</w:t>
            </w:r>
          </w:p>
          <w:p w:rsidR="00B21D29" w:rsidRDefault="00B21D29" w:rsidP="00B21D29">
            <w:pPr>
              <w:pStyle w:val="Header"/>
              <w:numPr>
                <w:ilvl w:val="0"/>
                <w:numId w:val="13"/>
              </w:numPr>
              <w:rPr>
                <w:i/>
                <w:sz w:val="16"/>
                <w:szCs w:val="16"/>
              </w:rPr>
            </w:pPr>
            <w:r w:rsidRPr="003C3601">
              <w:rPr>
                <w:i/>
                <w:sz w:val="16"/>
                <w:szCs w:val="16"/>
              </w:rPr>
              <w:t xml:space="preserve"> Present findings in written form, displays and other presentations.</w:t>
            </w:r>
          </w:p>
          <w:p w:rsidR="003B3067" w:rsidRPr="003B3067" w:rsidRDefault="003B3067" w:rsidP="003B3067">
            <w:pPr>
              <w:pStyle w:val="NormalWeb"/>
              <w:numPr>
                <w:ilvl w:val="0"/>
                <w:numId w:val="13"/>
              </w:numPr>
              <w:spacing w:before="0" w:before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lastRenderedPageBreak/>
              <w:t>Compare and group together everyday materials based on evidence from comparative and fair tests, including their hardness, solubility, conductivity (electrical and thermal), and response to magnets.</w:t>
            </w:r>
          </w:p>
          <w:p w:rsidR="003B3067" w:rsidRDefault="003B3067" w:rsidP="003B3067">
            <w:pPr>
              <w:pStyle w:val="NormalWeb"/>
              <w:spacing w:before="0" w:beforeAutospacing="0" w:after="0" w:after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t>• Understand how some materials will dissolve in liquid to form a solution and describe how to recover a substance from a solution.</w:t>
            </w:r>
          </w:p>
          <w:p w:rsidR="003B3067" w:rsidRDefault="003B3067" w:rsidP="003B3067">
            <w:pPr>
              <w:pStyle w:val="NormalWeb"/>
              <w:numPr>
                <w:ilvl w:val="0"/>
                <w:numId w:val="14"/>
              </w:numPr>
              <w:spacing w:before="0" w:beforeAutospacing="0" w:after="0" w:after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t xml:space="preserve">Use knowledge of solids, liquids and gases to decide how mixtures </w:t>
            </w:r>
            <w:proofErr w:type="gramStart"/>
            <w:r w:rsidRPr="003B3067">
              <w:rPr>
                <w:rFonts w:asciiTheme="minorHAnsi" w:eastAsiaTheme="minorHAnsi" w:hAnsiTheme="minorHAnsi" w:cstheme="minorBidi"/>
                <w:i/>
                <w:sz w:val="16"/>
                <w:szCs w:val="16"/>
                <w:lang w:eastAsia="en-US"/>
              </w:rPr>
              <w:t>might be separated</w:t>
            </w:r>
            <w:proofErr w:type="gramEnd"/>
            <w:r w:rsidRPr="003B3067">
              <w:rPr>
                <w:rFonts w:asciiTheme="minorHAnsi" w:eastAsiaTheme="minorHAnsi" w:hAnsiTheme="minorHAnsi" w:cstheme="minorBidi"/>
                <w:i/>
                <w:sz w:val="16"/>
                <w:szCs w:val="16"/>
                <w:lang w:eastAsia="en-US"/>
              </w:rPr>
              <w:t>, including through filtering, sieving and evaporating.</w:t>
            </w:r>
          </w:p>
          <w:p w:rsidR="003B3067" w:rsidRDefault="003B3067" w:rsidP="003B3067">
            <w:pPr>
              <w:pStyle w:val="NormalWeb"/>
              <w:numPr>
                <w:ilvl w:val="0"/>
                <w:numId w:val="14"/>
              </w:numPr>
              <w:spacing w:before="0" w:beforeAutospacing="0" w:after="0" w:after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t>Give reasons, based on evidence from comparative and fair tests, for the particular uses of everyday materials, including metals, wood and plastic.</w:t>
            </w:r>
          </w:p>
          <w:p w:rsidR="003B3067" w:rsidRDefault="003B3067" w:rsidP="003B3067">
            <w:pPr>
              <w:pStyle w:val="NormalWeb"/>
              <w:numPr>
                <w:ilvl w:val="0"/>
                <w:numId w:val="14"/>
              </w:numPr>
              <w:spacing w:before="0" w:beforeAutospacing="0" w:after="0" w:after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t>Demonstrate that dissolving, mixing and changes of state are reversible changes.</w:t>
            </w:r>
          </w:p>
          <w:p w:rsidR="003B3067" w:rsidRPr="003B3067" w:rsidRDefault="003B3067" w:rsidP="003B3067">
            <w:pPr>
              <w:pStyle w:val="NormalWeb"/>
              <w:numPr>
                <w:ilvl w:val="0"/>
                <w:numId w:val="14"/>
              </w:numPr>
              <w:spacing w:before="0" w:beforeAutospacing="0" w:after="0" w:afterAutospacing="0"/>
              <w:rPr>
                <w:rFonts w:asciiTheme="minorHAnsi" w:eastAsiaTheme="minorHAnsi" w:hAnsiTheme="minorHAnsi" w:cstheme="minorBidi"/>
                <w:i/>
                <w:sz w:val="16"/>
                <w:szCs w:val="16"/>
                <w:lang w:eastAsia="en-US"/>
              </w:rPr>
            </w:pPr>
            <w:r w:rsidRPr="003B3067">
              <w:rPr>
                <w:rFonts w:asciiTheme="minorHAnsi" w:eastAsiaTheme="minorHAnsi" w:hAnsiTheme="minorHAnsi" w:cstheme="minorBidi"/>
                <w:i/>
                <w:sz w:val="16"/>
                <w:szCs w:val="16"/>
                <w:lang w:eastAsia="en-US"/>
              </w:rPr>
              <w:t>Explain that some changes result in the formation of new materials, and that this kind of change is not usually reversible, including changes associated with burning, oxidisation and the action of acid on bicarbonate of soda.</w:t>
            </w:r>
          </w:p>
          <w:p w:rsidR="00417FAD" w:rsidRPr="006E7DEE" w:rsidRDefault="00417FAD" w:rsidP="00B21D29">
            <w:pPr>
              <w:rPr>
                <w:rFonts w:ascii="Comic Sans MS" w:hAnsi="Comic Sans MS"/>
              </w:rPr>
            </w:pPr>
          </w:p>
        </w:tc>
      </w:tr>
    </w:tbl>
    <w:p w:rsidR="00696954" w:rsidRDefault="00696954"/>
    <w:sectPr w:rsidR="00696954" w:rsidSect="009C683D">
      <w:headerReference w:type="default" r:id="rId7"/>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Preplay">
    <w:altName w:val="Corbe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A50318" w:rsidP="00390C7F">
    <w:pPr>
      <w:pStyle w:val="Header"/>
      <w:jc w:val="center"/>
      <w:rPr>
        <w:b/>
        <w:sz w:val="44"/>
        <w:szCs w:val="44"/>
        <w:u w:val="single"/>
      </w:rPr>
    </w:pPr>
    <w:r>
      <w:rPr>
        <w:b/>
        <w:sz w:val="44"/>
        <w:szCs w:val="44"/>
        <w:u w:val="single"/>
      </w:rPr>
      <w:t>Science</w:t>
    </w:r>
    <w:r w:rsidR="006E7DEE">
      <w:rPr>
        <w:b/>
        <w:sz w:val="44"/>
        <w:szCs w:val="44"/>
        <w:u w:val="single"/>
      </w:rPr>
      <w:t xml:space="preserve"> –</w:t>
    </w:r>
    <w:r w:rsidR="00082611">
      <w:rPr>
        <w:b/>
        <w:sz w:val="44"/>
        <w:szCs w:val="44"/>
        <w:u w:val="single"/>
      </w:rPr>
      <w:t>properties of materials and their changes.</w:t>
    </w:r>
  </w:p>
  <w:p w:rsidR="00390C7F" w:rsidRDefault="00390C7F" w:rsidP="00390C7F">
    <w:pPr>
      <w:pStyle w:val="Header"/>
      <w:jc w:val="center"/>
    </w:pPr>
    <w:r>
      <w:t xml:space="preserve"> Medium Term Planning: </w:t>
    </w:r>
    <w:proofErr w:type="gramStart"/>
    <w:r w:rsidR="004B5DDD">
      <w:rPr>
        <w:sz w:val="44"/>
        <w:szCs w:val="44"/>
      </w:rPr>
      <w:t xml:space="preserve">Year </w:t>
    </w:r>
    <w:r w:rsidR="00417FAD">
      <w:rPr>
        <w:sz w:val="44"/>
        <w:szCs w:val="44"/>
      </w:rPr>
      <w:t xml:space="preserve"> 5</w:t>
    </w:r>
    <w:proofErr w:type="gramEnd"/>
    <w:r>
      <w:t xml:space="preserve"> </w:t>
    </w:r>
  </w:p>
  <w:p w:rsidR="00390C7F" w:rsidRDefault="006E7DEE" w:rsidP="006E7DEE">
    <w:pPr>
      <w:pStyle w:val="Header"/>
      <w:tabs>
        <w:tab w:val="clear" w:pos="9026"/>
        <w:tab w:val="left" w:pos="5040"/>
        <w:tab w:val="left" w:pos="5760"/>
        <w:tab w:val="left" w:pos="6480"/>
        <w:tab w:val="left" w:pos="7200"/>
        <w:tab w:val="left" w:pos="7920"/>
      </w:tabs>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1DA"/>
    <w:multiLevelType w:val="hybridMultilevel"/>
    <w:tmpl w:val="AC80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7B28"/>
    <w:multiLevelType w:val="hybridMultilevel"/>
    <w:tmpl w:val="4116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EB4935"/>
    <w:multiLevelType w:val="hybridMultilevel"/>
    <w:tmpl w:val="18E2E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C74E8"/>
    <w:multiLevelType w:val="hybridMultilevel"/>
    <w:tmpl w:val="6BC8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0264B"/>
    <w:multiLevelType w:val="hybridMultilevel"/>
    <w:tmpl w:val="CD281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F84D88"/>
    <w:multiLevelType w:val="hybridMultilevel"/>
    <w:tmpl w:val="D022225E"/>
    <w:lvl w:ilvl="0" w:tplc="08090001">
      <w:start w:val="1"/>
      <w:numFmt w:val="bullet"/>
      <w:lvlText w:val=""/>
      <w:lvlJc w:val="left"/>
      <w:pPr>
        <w:ind w:left="360" w:hanging="360"/>
      </w:pPr>
      <w:rPr>
        <w:rFonts w:ascii="Symbol" w:hAnsi="Symbol" w:hint="default"/>
      </w:rPr>
    </w:lvl>
    <w:lvl w:ilvl="1" w:tplc="6F50EE40">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C501CA"/>
    <w:multiLevelType w:val="hybridMultilevel"/>
    <w:tmpl w:val="AE4C25A2"/>
    <w:lvl w:ilvl="0" w:tplc="08090001">
      <w:start w:val="1"/>
      <w:numFmt w:val="bullet"/>
      <w:lvlText w:val=""/>
      <w:lvlJc w:val="left"/>
      <w:pPr>
        <w:ind w:left="720" w:hanging="360"/>
      </w:pPr>
      <w:rPr>
        <w:rFonts w:ascii="Symbol" w:hAnsi="Symbol" w:hint="default"/>
      </w:rPr>
    </w:lvl>
    <w:lvl w:ilvl="1" w:tplc="9CB662D2">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02A4B"/>
    <w:multiLevelType w:val="hybridMultilevel"/>
    <w:tmpl w:val="8FEE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A250AD"/>
    <w:multiLevelType w:val="hybridMultilevel"/>
    <w:tmpl w:val="231A1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63180B"/>
    <w:multiLevelType w:val="hybridMultilevel"/>
    <w:tmpl w:val="C9FE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03389A"/>
    <w:multiLevelType w:val="hybridMultilevel"/>
    <w:tmpl w:val="B6020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7A7258"/>
    <w:multiLevelType w:val="hybridMultilevel"/>
    <w:tmpl w:val="F724C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5"/>
  </w:num>
  <w:num w:numId="4">
    <w:abstractNumId w:val="4"/>
  </w:num>
  <w:num w:numId="5">
    <w:abstractNumId w:val="1"/>
  </w:num>
  <w:num w:numId="6">
    <w:abstractNumId w:val="7"/>
  </w:num>
  <w:num w:numId="7">
    <w:abstractNumId w:val="10"/>
  </w:num>
  <w:num w:numId="8">
    <w:abstractNumId w:val="11"/>
  </w:num>
  <w:num w:numId="9">
    <w:abstractNumId w:val="3"/>
  </w:num>
  <w:num w:numId="10">
    <w:abstractNumId w:val="2"/>
  </w:num>
  <w:num w:numId="11">
    <w:abstractNumId w:val="0"/>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82611"/>
    <w:rsid w:val="000C4E6B"/>
    <w:rsid w:val="00101762"/>
    <w:rsid w:val="002E6C1D"/>
    <w:rsid w:val="00390C7F"/>
    <w:rsid w:val="003B3067"/>
    <w:rsid w:val="00417FAD"/>
    <w:rsid w:val="004B5DDD"/>
    <w:rsid w:val="004E3F79"/>
    <w:rsid w:val="005001F3"/>
    <w:rsid w:val="00552CEA"/>
    <w:rsid w:val="005E64E5"/>
    <w:rsid w:val="006030D2"/>
    <w:rsid w:val="00696954"/>
    <w:rsid w:val="006C64BC"/>
    <w:rsid w:val="006D5593"/>
    <w:rsid w:val="006E7DEE"/>
    <w:rsid w:val="00704DBF"/>
    <w:rsid w:val="0078317B"/>
    <w:rsid w:val="007E27C8"/>
    <w:rsid w:val="00823226"/>
    <w:rsid w:val="00825D39"/>
    <w:rsid w:val="008673BC"/>
    <w:rsid w:val="008D2620"/>
    <w:rsid w:val="00983683"/>
    <w:rsid w:val="009C683D"/>
    <w:rsid w:val="00A50318"/>
    <w:rsid w:val="00B21D29"/>
    <w:rsid w:val="00CF58E9"/>
    <w:rsid w:val="00E22178"/>
    <w:rsid w:val="00EA683A"/>
    <w:rsid w:val="00FF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2362"/>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417FAD"/>
    <w:pPr>
      <w:spacing w:after="0" w:line="240" w:lineRule="auto"/>
    </w:pPr>
  </w:style>
  <w:style w:type="paragraph" w:styleId="NormalWeb">
    <w:name w:val="Normal (Web)"/>
    <w:basedOn w:val="Normal"/>
    <w:uiPriority w:val="99"/>
    <w:unhideWhenUsed/>
    <w:rsid w:val="003B30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486991">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Andrew Martin</cp:lastModifiedBy>
  <cp:revision>2</cp:revision>
  <dcterms:created xsi:type="dcterms:W3CDTF">2020-04-21T14:46:00Z</dcterms:created>
  <dcterms:modified xsi:type="dcterms:W3CDTF">2020-04-21T14:46:00Z</dcterms:modified>
</cp:coreProperties>
</file>