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9C683D">
              <w:rPr>
                <w:rFonts w:ascii="Comic Sans MS" w:hAnsi="Comic Sans MS"/>
              </w:rPr>
              <w:t xml:space="preserve">The United Kingdom of Great Britain and Northern Ireland 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9C683D" w:rsidRDefault="00FB21D8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 w:rsidRPr="00FB21D8">
              <w:rPr>
                <w:rFonts w:ascii="Comic Sans MS" w:hAnsi="Comic Sans MS"/>
                <w:b/>
                <w:u w:val="single"/>
              </w:rPr>
              <w:t>Winter to Spring</w:t>
            </w:r>
          </w:p>
          <w:p w:rsidR="00555BDF" w:rsidRDefault="00555BDF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  <w:p w:rsidR="00555BDF" w:rsidRDefault="00555BDF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observe and describe how day length varies in the context of winter to spring.</w:t>
            </w:r>
          </w:p>
          <w:p w:rsidR="00555BDF" w:rsidRDefault="00555BDF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  <w:p w:rsidR="00555BDF" w:rsidRPr="00555BDF" w:rsidRDefault="00D60F71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observe changes across the four seasons by looking at how trees and the clothes that we wear change from winter to spring.</w:t>
            </w:r>
          </w:p>
        </w:tc>
        <w:tc>
          <w:tcPr>
            <w:tcW w:w="2571" w:type="dxa"/>
          </w:tcPr>
          <w:p w:rsidR="009C683D" w:rsidRDefault="00FB21D8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Seasonal weather (Spring)</w:t>
            </w:r>
          </w:p>
          <w:p w:rsidR="00F542EE" w:rsidRDefault="00F542EE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F542EE" w:rsidRDefault="00F542EE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observe and describe weather associated with the seasons by observing the weather in spring.</w:t>
            </w:r>
          </w:p>
          <w:p w:rsidR="00F542EE" w:rsidRDefault="00F542EE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  <w:p w:rsidR="00F542EE" w:rsidRPr="00F542EE" w:rsidRDefault="00F542EE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gather and record data to help in answering questions by recording the weather, temperature, rainfall and wind direction in spring.</w:t>
            </w:r>
          </w:p>
        </w:tc>
        <w:tc>
          <w:tcPr>
            <w:tcW w:w="2528" w:type="dxa"/>
          </w:tcPr>
          <w:p w:rsidR="009C683D" w:rsidRDefault="00FB21D8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Spring Walk</w:t>
            </w:r>
          </w:p>
          <w:p w:rsidR="00F542EE" w:rsidRDefault="00F542EE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F542EE" w:rsidRPr="00F542EE" w:rsidRDefault="00F542EE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observe changes across the four seasons by going on a spring walk.</w:t>
            </w:r>
          </w:p>
        </w:tc>
        <w:tc>
          <w:tcPr>
            <w:tcW w:w="2372" w:type="dxa"/>
          </w:tcPr>
          <w:p w:rsidR="009C683D" w:rsidRDefault="00FB21D8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Spring Summer</w:t>
            </w:r>
          </w:p>
          <w:p w:rsidR="006C1905" w:rsidRDefault="006C1905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6C1905" w:rsidRDefault="006C1905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observe and describe </w:t>
            </w:r>
            <w:r w:rsidR="00323560">
              <w:rPr>
                <w:rFonts w:ascii="Comic Sans MS" w:hAnsi="Comic Sans MS"/>
              </w:rPr>
              <w:t xml:space="preserve">how day length varies in the context of spring to summer. </w:t>
            </w:r>
          </w:p>
          <w:p w:rsidR="00323560" w:rsidRDefault="00323560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  <w:p w:rsidR="00323560" w:rsidRPr="006C1905" w:rsidRDefault="00323560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observe changes across the four seasons by looking at how trees and the clothes that we wear change from spring to summer.</w:t>
            </w:r>
          </w:p>
        </w:tc>
        <w:tc>
          <w:tcPr>
            <w:tcW w:w="2420" w:type="dxa"/>
          </w:tcPr>
          <w:p w:rsidR="009C683D" w:rsidRDefault="00FB21D8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Seasonal weather (Summer)</w:t>
            </w:r>
          </w:p>
          <w:p w:rsidR="00232327" w:rsidRDefault="00232327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232327" w:rsidRDefault="00232327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observe and describe weather associated with the seasons by observing and recording the weather in summer.</w:t>
            </w:r>
          </w:p>
          <w:p w:rsidR="00232327" w:rsidRDefault="00232327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  <w:p w:rsidR="00232327" w:rsidRDefault="00232327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gather and record data to help in answering questions by recording the weather, temperature, rainfall and wind direction in the summer.</w:t>
            </w:r>
          </w:p>
          <w:p w:rsidR="00232327" w:rsidRPr="00232327" w:rsidRDefault="00232327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(This will need to be revisited in the summer term. Measurements can still be taken and compared with ones from lesson 2)</w:t>
            </w:r>
          </w:p>
        </w:tc>
        <w:tc>
          <w:tcPr>
            <w:tcW w:w="2588" w:type="dxa"/>
          </w:tcPr>
          <w:p w:rsidR="009C683D" w:rsidRDefault="00FB21D8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lastRenderedPageBreak/>
              <w:t>Staying safe in Summer</w:t>
            </w:r>
          </w:p>
          <w:p w:rsidR="007174DA" w:rsidRDefault="007174DA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7174DA" w:rsidRDefault="007174DA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 and describe weather associated with the seasons in the context of the summer sun.</w:t>
            </w:r>
          </w:p>
          <w:p w:rsidR="007174DA" w:rsidRPr="007174DA" w:rsidRDefault="007174DA" w:rsidP="007174DA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(This will be more about observing through secondary sources and discussing how to stay safe in the sun. We will also take a closer look at the sun itself and find out how it works)</w:t>
            </w: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CE4BA0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Seasons, spring, summer, weather, daylight, day, night, weather vane, rain gauge, thermometer, scale, measure, measurement, </w:t>
            </w:r>
            <w:r w:rsidR="00A71CA8">
              <w:rPr>
                <w:rFonts w:ascii="Comic Sans MS" w:hAnsi="Comic Sans MS" w:cstheme="minorBidi"/>
                <w:color w:val="auto"/>
                <w:sz w:val="22"/>
                <w:szCs w:val="22"/>
              </w:rPr>
              <w:t>temperature, seasonal, rainfall, observe, changes, wind direction, day length, record.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3B26D5" w:rsidRDefault="003B26D5" w:rsidP="003B26D5">
            <w:pPr>
              <w:pStyle w:val="Default"/>
              <w:shd w:val="clear" w:color="auto" w:fill="FFFFFF" w:themeFill="background1"/>
              <w:ind w:left="360"/>
              <w:jc w:val="both"/>
              <w:rPr>
                <w:rStyle w:val="Strong"/>
                <w:rFonts w:ascii="Verdana" w:hAnsi="Verdana"/>
                <w:sz w:val="23"/>
                <w:szCs w:val="23"/>
              </w:rPr>
            </w:pPr>
            <w:r>
              <w:rPr>
                <w:rStyle w:val="Strong"/>
                <w:rFonts w:ascii="Verdana" w:hAnsi="Verdana"/>
                <w:sz w:val="23"/>
                <w:szCs w:val="23"/>
              </w:rPr>
              <w:t>Understand the Earth’s movement in space</w:t>
            </w:r>
          </w:p>
          <w:p w:rsidR="009C683D" w:rsidRDefault="003B26D5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>
              <w:rPr>
                <w:rFonts w:ascii="Verdana" w:hAnsi="Verdana"/>
                <w:sz w:val="23"/>
                <w:szCs w:val="23"/>
                <w:shd w:val="clear" w:color="auto" w:fill="8DCD9E"/>
              </w:rPr>
              <w:t>This concept involves understanding what causes seasonal changes, day and night.</w:t>
            </w:r>
          </w:p>
          <w:p w:rsidR="003B26D5" w:rsidRDefault="003B26D5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</w:p>
          <w:p w:rsidR="003B26D5" w:rsidRPr="003B26D5" w:rsidRDefault="003B26D5" w:rsidP="003B26D5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/>
              </w:rPr>
            </w:pPr>
            <w:r w:rsidRPr="003B26D5">
              <w:rPr>
                <w:rFonts w:ascii="Comic Sans MS" w:hAnsi="Comic Sans MS"/>
                <w:i/>
                <w:iCs/>
              </w:rPr>
              <w:t>• Observe the apparent movement of the Sun during the day.</w:t>
            </w:r>
          </w:p>
          <w:p w:rsidR="003B26D5" w:rsidRPr="003B26D5" w:rsidRDefault="003B26D5" w:rsidP="003B26D5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/>
              </w:rPr>
            </w:pPr>
            <w:r w:rsidRPr="003B26D5">
              <w:rPr>
                <w:rFonts w:ascii="Comic Sans MS" w:hAnsi="Comic Sans MS"/>
              </w:rPr>
              <w:t>• Observe changes across the four seasons.</w:t>
            </w:r>
          </w:p>
          <w:p w:rsidR="003B26D5" w:rsidRPr="003B26D5" w:rsidRDefault="003B26D5" w:rsidP="003B26D5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/>
              </w:rPr>
            </w:pPr>
            <w:r w:rsidRPr="003B26D5">
              <w:rPr>
                <w:rFonts w:ascii="Comic Sans MS" w:hAnsi="Comic Sans MS"/>
              </w:rPr>
              <w:t>• Observe and describe weather associated with the seasons and how day length varies.</w:t>
            </w:r>
          </w:p>
          <w:p w:rsidR="003B26D5" w:rsidRPr="00390C7F" w:rsidRDefault="003B26D5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765B25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765B25">
      <w:rPr>
        <w:sz w:val="44"/>
        <w:szCs w:val="44"/>
      </w:rPr>
      <w:t xml:space="preserve"> 1 Spring 2 – Weather – Spring/Summer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32327"/>
    <w:rsid w:val="002A6F7F"/>
    <w:rsid w:val="002E6C1D"/>
    <w:rsid w:val="00323560"/>
    <w:rsid w:val="00390C7F"/>
    <w:rsid w:val="003B26D5"/>
    <w:rsid w:val="004B5DDD"/>
    <w:rsid w:val="005001F3"/>
    <w:rsid w:val="00555BDF"/>
    <w:rsid w:val="00696954"/>
    <w:rsid w:val="006C1905"/>
    <w:rsid w:val="00704DBF"/>
    <w:rsid w:val="007174DA"/>
    <w:rsid w:val="00765B25"/>
    <w:rsid w:val="00823226"/>
    <w:rsid w:val="008D2620"/>
    <w:rsid w:val="009C683D"/>
    <w:rsid w:val="00A71CA8"/>
    <w:rsid w:val="00CE4BA0"/>
    <w:rsid w:val="00D60F71"/>
    <w:rsid w:val="00E22178"/>
    <w:rsid w:val="00EA683A"/>
    <w:rsid w:val="00F542EE"/>
    <w:rsid w:val="00F72C76"/>
    <w:rsid w:val="00F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sid w:val="003B2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Vicky 2. Sanderson</cp:lastModifiedBy>
  <cp:revision>2</cp:revision>
  <dcterms:created xsi:type="dcterms:W3CDTF">2020-03-03T17:49:00Z</dcterms:created>
  <dcterms:modified xsi:type="dcterms:W3CDTF">2020-03-03T17:49:00Z</dcterms:modified>
</cp:coreProperties>
</file>