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FE" w:rsidRPr="00C852A8" w:rsidRDefault="008828B6" w:rsidP="008B31FE">
      <w:pPr>
        <w:pStyle w:val="NormalWeb"/>
        <w:shd w:val="clear" w:color="auto" w:fill="FFFFFF"/>
        <w:spacing w:after="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T</w:t>
      </w:r>
      <w:r w:rsidR="00C06072" w:rsidRPr="00C852A8">
        <w:rPr>
          <w:rFonts w:ascii="Verdana" w:hAnsi="Verdana"/>
          <w:sz w:val="16"/>
          <w:szCs w:val="20"/>
          <w:lang w:val="en"/>
        </w:rPr>
        <w:t>he primary school sport premium i</w:t>
      </w:r>
      <w:r w:rsidRPr="00C852A8">
        <w:rPr>
          <w:rFonts w:ascii="Verdana" w:hAnsi="Verdana"/>
          <w:sz w:val="16"/>
          <w:szCs w:val="20"/>
          <w:lang w:val="en"/>
        </w:rPr>
        <w:t>nvestme</w:t>
      </w:r>
      <w:bookmarkStart w:id="0" w:name="_GoBack"/>
      <w:bookmarkEnd w:id="0"/>
      <w:r w:rsidRPr="00C852A8">
        <w:rPr>
          <w:rFonts w:ascii="Verdana" w:hAnsi="Verdana"/>
          <w:sz w:val="16"/>
          <w:szCs w:val="20"/>
          <w:lang w:val="en"/>
        </w:rPr>
        <w:t xml:space="preserve">nt </w:t>
      </w:r>
      <w:r w:rsidR="00057799" w:rsidRPr="00C852A8">
        <w:rPr>
          <w:rFonts w:ascii="Verdana" w:hAnsi="Verdana"/>
          <w:sz w:val="16"/>
          <w:szCs w:val="20"/>
          <w:lang w:val="en"/>
        </w:rPr>
        <w:t>goes</w:t>
      </w:r>
      <w:r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w:t>
      </w:r>
      <w:r w:rsidR="00B36E4E">
        <w:rPr>
          <w:rFonts w:ascii="Verdana" w:hAnsi="Verdana"/>
          <w:sz w:val="16"/>
          <w:szCs w:val="20"/>
          <w:lang w:val="en"/>
        </w:rPr>
        <w:t xml:space="preserve"> of PE and school sport. In 2018/19</w:t>
      </w:r>
      <w:r w:rsidR="00057799" w:rsidRPr="00C852A8">
        <w:rPr>
          <w:rFonts w:ascii="Verdana" w:hAnsi="Verdana"/>
          <w:sz w:val="16"/>
          <w:szCs w:val="20"/>
          <w:lang w:val="en"/>
        </w:rPr>
        <w:t xml:space="preserve"> the amount schools receive each year has doubled. </w:t>
      </w:r>
    </w:p>
    <w:p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rsidTr="00C852A8">
        <w:trPr>
          <w:trHeight w:val="102"/>
        </w:trPr>
        <w:tc>
          <w:tcPr>
            <w:tcW w:w="10632"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233C2C">
              <w:rPr>
                <w:rFonts w:ascii="Verdana" w:hAnsi="Verdana"/>
                <w:b/>
                <w:color w:val="C2D69B" w:themeColor="accent3" w:themeTint="99"/>
                <w:sz w:val="16"/>
                <w:szCs w:val="20"/>
                <w:lang w:val="en"/>
              </w:rPr>
              <w:t>nding for the academic year 2021</w:t>
            </w:r>
            <w:r w:rsidR="005E69DE">
              <w:rPr>
                <w:rFonts w:ascii="Verdana" w:hAnsi="Verdana"/>
                <w:b/>
                <w:color w:val="C2D69B" w:themeColor="accent3" w:themeTint="99"/>
                <w:sz w:val="16"/>
                <w:szCs w:val="20"/>
                <w:lang w:val="en"/>
              </w:rPr>
              <w:t>/20</w:t>
            </w:r>
            <w:r w:rsidR="00233C2C">
              <w:rPr>
                <w:rFonts w:ascii="Verdana" w:hAnsi="Verdana"/>
                <w:b/>
                <w:color w:val="C2D69B" w:themeColor="accent3" w:themeTint="99"/>
                <w:sz w:val="16"/>
                <w:szCs w:val="20"/>
                <w:lang w:val="en"/>
              </w:rPr>
              <w:t>22</w:t>
            </w:r>
          </w:p>
        </w:tc>
        <w:tc>
          <w:tcPr>
            <w:tcW w:w="1701"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4D0B0B">
              <w:rPr>
                <w:rFonts w:ascii="Verdana" w:hAnsi="Verdana"/>
                <w:b/>
                <w:color w:val="FFFFFF" w:themeColor="background1"/>
                <w:sz w:val="16"/>
                <w:szCs w:val="20"/>
                <w:lang w:val="en"/>
              </w:rPr>
              <w:t>£</w:t>
            </w:r>
            <w:r w:rsidR="00233C2C">
              <w:rPr>
                <w:rFonts w:ascii="Verdana" w:hAnsi="Verdana"/>
                <w:b/>
                <w:color w:val="FFFFFF" w:themeColor="background1"/>
                <w:sz w:val="16"/>
                <w:szCs w:val="20"/>
                <w:lang w:val="en"/>
              </w:rPr>
              <w:t>17,400</w:t>
            </w:r>
          </w:p>
        </w:tc>
      </w:tr>
      <w:tr w:rsidR="00D124A2" w:rsidTr="00C852A8">
        <w:trPr>
          <w:trHeight w:val="150"/>
        </w:trPr>
        <w:tc>
          <w:tcPr>
            <w:tcW w:w="10632" w:type="dxa"/>
            <w:shd w:val="clear" w:color="auto" w:fill="215868" w:themeFill="accent5" w:themeFillShade="80"/>
            <w:tcMar>
              <w:top w:w="28" w:type="dxa"/>
              <w:bottom w:w="28" w:type="dxa"/>
            </w:tcMar>
            <w:vAlign w:val="center"/>
          </w:tcPr>
          <w:p w:rsidR="00140111"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swim competently, confidently and proficiently over a distance of at least 25 metres?</w:t>
            </w:r>
          </w:p>
        </w:tc>
        <w:tc>
          <w:tcPr>
            <w:tcW w:w="1701" w:type="dxa"/>
            <w:shd w:val="clear" w:color="auto" w:fill="215868" w:themeFill="accent5" w:themeFillShade="80"/>
            <w:tcMar>
              <w:top w:w="28" w:type="dxa"/>
              <w:bottom w:w="28" w:type="dxa"/>
            </w:tcMar>
            <w:vAlign w:val="center"/>
          </w:tcPr>
          <w:p w:rsidR="00D124A2" w:rsidRPr="00C852A8" w:rsidRDefault="00F84890"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85</w:t>
            </w:r>
            <w:r w:rsidR="00E126E3">
              <w:rPr>
                <w:rFonts w:ascii="Verdana" w:hAnsi="Verdana"/>
                <w:b/>
                <w:color w:val="C2D69B" w:themeColor="accent3" w:themeTint="99"/>
                <w:sz w:val="16"/>
                <w:szCs w:val="20"/>
                <w:lang w:val="en"/>
              </w:rPr>
              <w:t>%</w:t>
            </w:r>
          </w:p>
        </w:tc>
      </w:tr>
      <w:tr w:rsidR="00EE25FD" w:rsidTr="00C852A8">
        <w:trPr>
          <w:trHeight w:val="28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use a range of strokes effectively [for example, front crawl, backstroke and breaststroke]?</w:t>
            </w:r>
          </w:p>
        </w:tc>
        <w:tc>
          <w:tcPr>
            <w:tcW w:w="1701" w:type="dxa"/>
            <w:shd w:val="clear" w:color="auto" w:fill="215868" w:themeFill="accent5" w:themeFillShade="80"/>
            <w:tcMar>
              <w:top w:w="28" w:type="dxa"/>
              <w:bottom w:w="28" w:type="dxa"/>
            </w:tcMar>
            <w:vAlign w:val="center"/>
          </w:tcPr>
          <w:p w:rsidR="00EE25FD" w:rsidRPr="00C852A8" w:rsidRDefault="00F84890" w:rsidP="00C53757">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E126E3">
              <w:rPr>
                <w:rFonts w:ascii="Verdana" w:hAnsi="Verdana"/>
                <w:b/>
                <w:color w:val="C2D69B" w:themeColor="accent3" w:themeTint="99"/>
                <w:sz w:val="16"/>
                <w:szCs w:val="20"/>
                <w:lang w:val="en"/>
              </w:rPr>
              <w:t>5%</w:t>
            </w:r>
          </w:p>
        </w:tc>
      </w:tr>
      <w:tr w:rsidR="00EE25FD" w:rsidTr="00C852A8">
        <w:trPr>
          <w:trHeight w:val="3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perform safe self-rescue in different water-based situations?</w:t>
            </w:r>
          </w:p>
        </w:tc>
        <w:tc>
          <w:tcPr>
            <w:tcW w:w="1701" w:type="dxa"/>
            <w:shd w:val="clear" w:color="auto" w:fill="215868" w:themeFill="accent5" w:themeFillShade="80"/>
            <w:tcMar>
              <w:top w:w="28" w:type="dxa"/>
              <w:bottom w:w="28" w:type="dxa"/>
            </w:tcMar>
            <w:vAlign w:val="center"/>
          </w:tcPr>
          <w:p w:rsidR="00EE25FD" w:rsidRPr="00C852A8" w:rsidRDefault="00F84890"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E126E3">
              <w:rPr>
                <w:rFonts w:ascii="Verdana" w:hAnsi="Verdana"/>
                <w:b/>
                <w:color w:val="C2D69B" w:themeColor="accent3" w:themeTint="99"/>
                <w:sz w:val="16"/>
                <w:szCs w:val="20"/>
                <w:lang w:val="en"/>
              </w:rPr>
              <w:t>5%</w:t>
            </w:r>
          </w:p>
        </w:tc>
      </w:tr>
      <w:tr w:rsidR="00EE25FD" w:rsidTr="00C852A8">
        <w:trPr>
          <w:trHeight w:val="149"/>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EE25FD" w:rsidRPr="00C852A8" w:rsidRDefault="00E126E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No </w:t>
            </w:r>
          </w:p>
        </w:tc>
      </w:tr>
    </w:tbl>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4640"/>
        <w:gridCol w:w="2397"/>
        <w:gridCol w:w="5758"/>
      </w:tblGrid>
      <w:tr w:rsidR="008B31FE" w:rsidTr="00EE25FD">
        <w:trPr>
          <w:trHeight w:val="329"/>
        </w:trPr>
        <w:tc>
          <w:tcPr>
            <w:tcW w:w="2552" w:type="dxa"/>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8B31FE" w:rsidRPr="00EE25FD" w:rsidRDefault="00D06B42" w:rsidP="00F61A56">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w:t>
            </w:r>
            <w:r w:rsidR="00751E09">
              <w:rPr>
                <w:rFonts w:ascii="Verdana" w:hAnsi="Verdana"/>
                <w:b/>
                <w:color w:val="C2D69B" w:themeColor="accent3" w:themeTint="99"/>
                <w:sz w:val="16"/>
                <w:szCs w:val="20"/>
                <w:lang w:val="en"/>
              </w:rPr>
              <w:t>Andrew Martin + Adrian Mutsa</w:t>
            </w:r>
            <w:r w:rsidR="00F61A56">
              <w:rPr>
                <w:rFonts w:ascii="Verdana" w:hAnsi="Verdana"/>
                <w:b/>
                <w:color w:val="C2D69B" w:themeColor="accent3" w:themeTint="99"/>
                <w:sz w:val="16"/>
                <w:szCs w:val="20"/>
                <w:lang w:val="en"/>
              </w:rPr>
              <w:t>ers</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8B31FE" w:rsidRPr="00EE25FD" w:rsidRDefault="00D06B42"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Paul Dale </w:t>
            </w:r>
          </w:p>
        </w:tc>
      </w:tr>
      <w:tr w:rsidR="00751E09" w:rsidTr="00EE25FD">
        <w:trPr>
          <w:trHeight w:val="329"/>
        </w:trPr>
        <w:tc>
          <w:tcPr>
            <w:tcW w:w="2552" w:type="dxa"/>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751E09" w:rsidRDefault="00751E09" w:rsidP="00F61A56">
            <w:pPr>
              <w:pStyle w:val="NormalWeb"/>
              <w:spacing w:after="120" w:line="240" w:lineRule="auto"/>
              <w:rPr>
                <w:rFonts w:ascii="Verdana" w:hAnsi="Verdana"/>
                <w:b/>
                <w:color w:val="C2D69B" w:themeColor="accent3" w:themeTint="99"/>
                <w:sz w:val="16"/>
                <w:szCs w:val="20"/>
                <w:lang w:val="en"/>
              </w:rPr>
            </w:pP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5812" w:type="dxa"/>
            <w:shd w:val="clear" w:color="auto" w:fill="215868" w:themeFill="accent5" w:themeFillShade="80"/>
            <w:vAlign w:val="center"/>
          </w:tcPr>
          <w:p w:rsidR="00751E09" w:rsidRDefault="00751E09" w:rsidP="00BE5472">
            <w:pPr>
              <w:pStyle w:val="NormalWeb"/>
              <w:spacing w:after="120" w:line="240" w:lineRule="auto"/>
              <w:rPr>
                <w:rFonts w:ascii="Verdana" w:hAnsi="Verdana"/>
                <w:b/>
                <w:color w:val="C2D69B" w:themeColor="accent3" w:themeTint="99"/>
                <w:sz w:val="16"/>
                <w:szCs w:val="20"/>
                <w:lang w:val="en"/>
              </w:rPr>
            </w:pPr>
          </w:p>
        </w:tc>
      </w:tr>
      <w:tr w:rsidR="00751E09" w:rsidTr="00EE25FD">
        <w:trPr>
          <w:trHeight w:val="329"/>
        </w:trPr>
        <w:tc>
          <w:tcPr>
            <w:tcW w:w="2552" w:type="dxa"/>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751E09" w:rsidRDefault="00751E09" w:rsidP="00F61A56">
            <w:pPr>
              <w:pStyle w:val="NormalWeb"/>
              <w:spacing w:after="120" w:line="240" w:lineRule="auto"/>
              <w:rPr>
                <w:rFonts w:ascii="Verdana" w:hAnsi="Verdana"/>
                <w:b/>
                <w:color w:val="C2D69B" w:themeColor="accent3" w:themeTint="99"/>
                <w:sz w:val="16"/>
                <w:szCs w:val="20"/>
                <w:lang w:val="en"/>
              </w:rPr>
            </w:pP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5812" w:type="dxa"/>
            <w:shd w:val="clear" w:color="auto" w:fill="215868" w:themeFill="accent5" w:themeFillShade="80"/>
            <w:vAlign w:val="center"/>
          </w:tcPr>
          <w:p w:rsidR="00751E09" w:rsidRDefault="00751E09" w:rsidP="00BE5472">
            <w:pPr>
              <w:pStyle w:val="NormalWeb"/>
              <w:spacing w:after="120" w:line="240" w:lineRule="auto"/>
              <w:rPr>
                <w:rFonts w:ascii="Verdana" w:hAnsi="Verdana"/>
                <w:b/>
                <w:color w:val="C2D69B" w:themeColor="accent3" w:themeTint="99"/>
                <w:sz w:val="16"/>
                <w:szCs w:val="20"/>
                <w:lang w:val="en"/>
              </w:rPr>
            </w:pPr>
          </w:p>
        </w:tc>
      </w:tr>
    </w:tbl>
    <w:p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w:t>
      </w:r>
      <w:r w:rsidR="00F64A2B" w:rsidRPr="00C852A8">
        <w:rPr>
          <w:rFonts w:ascii="Verdana" w:hAnsi="Verdana"/>
          <w:sz w:val="16"/>
          <w:szCs w:val="20"/>
          <w:lang w:val="en"/>
        </w:rPr>
        <w:lastRenderedPageBreak/>
        <w:t xml:space="preserve">planning template (for further information go to </w:t>
      </w:r>
      <w:hyperlink r:id="rId10" w:history="1">
        <w:r w:rsidR="00F64A2B" w:rsidRPr="00C852A8">
          <w:rPr>
            <w:rStyle w:val="Hyperlink"/>
            <w:rFonts w:ascii="Verdana" w:hAnsi="Verdana"/>
            <w:sz w:val="16"/>
            <w:szCs w:val="20"/>
            <w:lang w:val="en"/>
          </w:rPr>
          <w:t>www.cornwallsportspartnership.co.uk/pe-and-school-sport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D9D9D9" w:themeFill="background1" w:themeFillShade="D9"/>
            <w:tcMar>
              <w:top w:w="28" w:type="dxa"/>
              <w:bottom w:w="28" w:type="dxa"/>
            </w:tcMar>
            <w:vAlign w:val="center"/>
          </w:tcPr>
          <w:p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tc>
        <w:tc>
          <w:tcPr>
            <w:tcW w:w="3969"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701"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rsidR="001C38D2" w:rsidRPr="001C38D2" w:rsidRDefault="001C38D2" w:rsidP="001C38D2">
            <w:pPr>
              <w:spacing w:before="120"/>
              <w:rPr>
                <w:rFonts w:ascii="Verdana" w:hAnsi="Verdana"/>
                <w:color w:val="215868" w:themeColor="accent5" w:themeShade="80"/>
                <w:sz w:val="18"/>
                <w:szCs w:val="18"/>
              </w:rPr>
            </w:pPr>
            <w:r>
              <w:rPr>
                <w:rFonts w:ascii="Verdana" w:hAnsi="Verdana"/>
                <w:color w:val="215868" w:themeColor="accent5" w:themeShade="80"/>
                <w:sz w:val="18"/>
                <w:szCs w:val="18"/>
              </w:rPr>
              <w:t>-</w:t>
            </w:r>
            <w:r w:rsidRPr="001C38D2">
              <w:rPr>
                <w:rFonts w:ascii="Verdana" w:hAnsi="Verdana"/>
                <w:color w:val="215868" w:themeColor="accent5" w:themeShade="80"/>
                <w:sz w:val="18"/>
                <w:szCs w:val="18"/>
              </w:rPr>
              <w:t>Planned spend</w:t>
            </w:r>
          </w:p>
          <w:p w:rsidR="00DB6302" w:rsidRPr="000D2CC2" w:rsidRDefault="001C38D2"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-Actual spend</w:t>
            </w:r>
          </w:p>
        </w:tc>
        <w:tc>
          <w:tcPr>
            <w:tcW w:w="3402"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p>
          <w:p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0D2C43" w:rsidTr="00F82DE3">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sidR="00531094">
              <w:rPr>
                <w:rFonts w:ascii="Verdana" w:hAnsi="Verdana"/>
                <w:b/>
                <w:color w:val="C2D69B" w:themeColor="accent3" w:themeTint="99"/>
              </w:rPr>
              <w:t xml:space="preserve">             </w:t>
            </w:r>
            <w:r w:rsidRPr="000D2C43">
              <w:rPr>
                <w:rFonts w:ascii="Verdana" w:hAnsi="Verdana"/>
                <w:b/>
                <w:color w:val="C2D69B" w:themeColor="accent3" w:themeTint="99"/>
              </w:rPr>
              <w:t>Delivery</w:t>
            </w:r>
          </w:p>
          <w:p w:rsidR="00EE25FD" w:rsidRPr="00BB06B1" w:rsidRDefault="00B14C40"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969" w:type="dxa"/>
            <w:tcMar>
              <w:top w:w="28" w:type="dxa"/>
              <w:bottom w:w="28" w:type="dxa"/>
            </w:tcMar>
          </w:tcPr>
          <w:p w:rsidR="00566FF0" w:rsidRDefault="00566FF0" w:rsidP="00F82DE3">
            <w:pPr>
              <w:rPr>
                <w:rFonts w:ascii="Verdana" w:hAnsi="Verdana"/>
                <w:sz w:val="18"/>
                <w:szCs w:val="20"/>
              </w:rPr>
            </w:pPr>
          </w:p>
          <w:p w:rsidR="00566FF0" w:rsidRPr="002F31F5" w:rsidRDefault="00566FF0" w:rsidP="00F82DE3">
            <w:pPr>
              <w:rPr>
                <w:rFonts w:ascii="Verdana" w:hAnsi="Verdana"/>
                <w:sz w:val="18"/>
                <w:szCs w:val="20"/>
              </w:rPr>
            </w:pPr>
            <w:r>
              <w:rPr>
                <w:rFonts w:ascii="Verdana" w:hAnsi="Verdana"/>
                <w:sz w:val="18"/>
                <w:szCs w:val="20"/>
              </w:rPr>
              <w:t>P.E. Partnership meetings &amp; Training</w:t>
            </w:r>
          </w:p>
          <w:p w:rsidR="00074DA2" w:rsidRPr="002F31F5" w:rsidRDefault="00074DA2" w:rsidP="00F82DE3">
            <w:pPr>
              <w:rPr>
                <w:rFonts w:ascii="Verdana" w:hAnsi="Verdana"/>
                <w:sz w:val="18"/>
                <w:szCs w:val="20"/>
              </w:rPr>
            </w:pPr>
          </w:p>
          <w:p w:rsidR="00074DA2" w:rsidRPr="002F31F5" w:rsidRDefault="00074DA2" w:rsidP="00F82DE3">
            <w:pPr>
              <w:rPr>
                <w:rFonts w:ascii="Verdana" w:hAnsi="Verdana"/>
                <w:sz w:val="18"/>
                <w:szCs w:val="20"/>
              </w:rPr>
            </w:pPr>
          </w:p>
          <w:p w:rsidR="005E69DE" w:rsidRDefault="005E69DE" w:rsidP="00F82DE3">
            <w:pPr>
              <w:rPr>
                <w:rFonts w:ascii="Verdana" w:hAnsi="Verdana"/>
                <w:sz w:val="18"/>
                <w:szCs w:val="20"/>
              </w:rPr>
            </w:pPr>
          </w:p>
          <w:p w:rsidR="00F84890" w:rsidRDefault="00F82DE3" w:rsidP="00F82DE3">
            <w:pPr>
              <w:rPr>
                <w:rFonts w:ascii="Verdana" w:hAnsi="Verdana"/>
                <w:sz w:val="18"/>
                <w:szCs w:val="20"/>
              </w:rPr>
            </w:pPr>
            <w:r w:rsidRPr="00F61A56">
              <w:rPr>
                <w:rFonts w:ascii="Verdana" w:hAnsi="Verdana"/>
                <w:sz w:val="18"/>
                <w:szCs w:val="20"/>
              </w:rPr>
              <w:t>High quality PE lessons are in place across the school</w:t>
            </w:r>
            <w:r w:rsidR="001750C9" w:rsidRPr="00F61A56">
              <w:rPr>
                <w:rFonts w:ascii="Verdana" w:hAnsi="Verdana"/>
                <w:sz w:val="18"/>
                <w:szCs w:val="20"/>
              </w:rPr>
              <w:t xml:space="preserve">. Support is given to reticent learners by </w:t>
            </w:r>
            <w:proofErr w:type="spellStart"/>
            <w:r w:rsidR="001750C9" w:rsidRPr="00F61A56">
              <w:rPr>
                <w:rFonts w:ascii="Verdana" w:hAnsi="Verdana"/>
                <w:sz w:val="18"/>
                <w:szCs w:val="20"/>
              </w:rPr>
              <w:t>TAs.</w:t>
            </w:r>
            <w:proofErr w:type="spellEnd"/>
            <w:r w:rsidR="00D80D5F">
              <w:rPr>
                <w:rFonts w:ascii="Verdana" w:hAnsi="Verdana"/>
                <w:sz w:val="18"/>
                <w:szCs w:val="20"/>
              </w:rPr>
              <w:t xml:space="preserve"> </w:t>
            </w:r>
          </w:p>
          <w:p w:rsidR="00F84890" w:rsidRDefault="00F84890" w:rsidP="00F82DE3">
            <w:pPr>
              <w:rPr>
                <w:rFonts w:ascii="Verdana" w:hAnsi="Verdana"/>
                <w:sz w:val="18"/>
                <w:szCs w:val="20"/>
              </w:rPr>
            </w:pPr>
          </w:p>
          <w:p w:rsidR="00F84890" w:rsidRDefault="00F84890" w:rsidP="00F82DE3">
            <w:pPr>
              <w:rPr>
                <w:rFonts w:ascii="Verdana" w:hAnsi="Verdana"/>
                <w:sz w:val="18"/>
                <w:szCs w:val="20"/>
              </w:rPr>
            </w:pPr>
          </w:p>
          <w:p w:rsidR="00F84890" w:rsidRDefault="00F84890" w:rsidP="00F82DE3">
            <w:pPr>
              <w:rPr>
                <w:rFonts w:ascii="Verdana" w:hAnsi="Verdana"/>
                <w:sz w:val="18"/>
                <w:szCs w:val="20"/>
              </w:rPr>
            </w:pPr>
          </w:p>
          <w:p w:rsidR="00231CCF" w:rsidRPr="002F31F5" w:rsidRDefault="00231CCF" w:rsidP="00F82DE3">
            <w:pPr>
              <w:rPr>
                <w:rFonts w:ascii="Verdana" w:hAnsi="Verdana"/>
                <w:sz w:val="18"/>
                <w:szCs w:val="20"/>
              </w:rPr>
            </w:pPr>
            <w:r>
              <w:rPr>
                <w:rFonts w:ascii="Verdana" w:hAnsi="Verdana"/>
                <w:sz w:val="18"/>
                <w:szCs w:val="20"/>
              </w:rPr>
              <w:t>New and replacement equipment and kits.</w:t>
            </w:r>
          </w:p>
        </w:tc>
        <w:tc>
          <w:tcPr>
            <w:tcW w:w="1701" w:type="dxa"/>
            <w:tcMar>
              <w:top w:w="28" w:type="dxa"/>
              <w:bottom w:w="28" w:type="dxa"/>
            </w:tcMar>
          </w:tcPr>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F84890" w:rsidP="009363CB">
            <w:pPr>
              <w:rPr>
                <w:rFonts w:ascii="Verdana" w:eastAsia="Times New Roman" w:hAnsi="Verdana" w:cstheme="minorHAnsi"/>
                <w:color w:val="333333"/>
                <w:sz w:val="18"/>
                <w:szCs w:val="20"/>
                <w:lang w:eastAsia="en-GB"/>
              </w:rPr>
            </w:pPr>
            <w:r>
              <w:rPr>
                <w:rFonts w:ascii="Verdana" w:eastAsia="Times New Roman" w:hAnsi="Verdana" w:cstheme="minorHAnsi"/>
                <w:color w:val="333333"/>
                <w:sz w:val="18"/>
                <w:szCs w:val="20"/>
                <w:lang w:eastAsia="en-GB"/>
              </w:rPr>
              <w:t xml:space="preserve">£450 </w:t>
            </w:r>
          </w:p>
          <w:p w:rsidR="00F82DE3" w:rsidRPr="002F31F5" w:rsidRDefault="00F82DE3" w:rsidP="009363CB">
            <w:pPr>
              <w:rPr>
                <w:rFonts w:ascii="Verdana" w:eastAsia="Times New Roman" w:hAnsi="Verdana" w:cstheme="minorHAnsi"/>
                <w:sz w:val="18"/>
                <w:szCs w:val="20"/>
                <w:lang w:eastAsia="en-GB"/>
              </w:rPr>
            </w:pPr>
          </w:p>
          <w:p w:rsidR="00B02EA8" w:rsidRDefault="00B02EA8" w:rsidP="00F61A56">
            <w:pPr>
              <w:rPr>
                <w:rFonts w:ascii="Verdana" w:hAnsi="Verdana"/>
                <w:sz w:val="18"/>
                <w:szCs w:val="20"/>
              </w:rPr>
            </w:pPr>
          </w:p>
          <w:p w:rsidR="00B02EA8" w:rsidRDefault="00B02EA8" w:rsidP="00F61A56">
            <w:pPr>
              <w:rPr>
                <w:rFonts w:ascii="Verdana" w:hAnsi="Verdana"/>
                <w:sz w:val="18"/>
                <w:szCs w:val="20"/>
              </w:rPr>
            </w:pPr>
          </w:p>
          <w:p w:rsidR="00F82DE3" w:rsidRDefault="00233C2C" w:rsidP="00F61A56">
            <w:pPr>
              <w:rPr>
                <w:rFonts w:ascii="Verdana" w:hAnsi="Verdana"/>
                <w:sz w:val="18"/>
                <w:szCs w:val="20"/>
              </w:rPr>
            </w:pPr>
            <w:r>
              <w:rPr>
                <w:rFonts w:ascii="Verdana" w:hAnsi="Verdana"/>
                <w:sz w:val="18"/>
                <w:szCs w:val="20"/>
              </w:rPr>
              <w:t>£</w:t>
            </w:r>
            <w:r w:rsidR="00601EB1">
              <w:rPr>
                <w:rFonts w:ascii="Verdana" w:hAnsi="Verdana"/>
                <w:sz w:val="18"/>
                <w:szCs w:val="20"/>
              </w:rPr>
              <w:t>6700</w:t>
            </w:r>
          </w:p>
          <w:p w:rsidR="00233C2C" w:rsidRDefault="00233C2C" w:rsidP="00F61A56">
            <w:pPr>
              <w:rPr>
                <w:rFonts w:ascii="Verdana" w:hAnsi="Verdana"/>
                <w:sz w:val="18"/>
                <w:szCs w:val="20"/>
              </w:rPr>
            </w:pPr>
          </w:p>
          <w:p w:rsidR="00233C2C" w:rsidRDefault="00233C2C" w:rsidP="00F61A56">
            <w:pPr>
              <w:rPr>
                <w:rFonts w:ascii="Verdana" w:hAnsi="Verdana"/>
                <w:sz w:val="18"/>
                <w:szCs w:val="20"/>
              </w:rPr>
            </w:pPr>
          </w:p>
          <w:p w:rsidR="00D80D5F" w:rsidRDefault="00D80D5F" w:rsidP="00F61A56">
            <w:pPr>
              <w:rPr>
                <w:rFonts w:ascii="Verdana" w:hAnsi="Verdana"/>
                <w:sz w:val="18"/>
                <w:szCs w:val="20"/>
              </w:rPr>
            </w:pPr>
          </w:p>
          <w:p w:rsidR="00D80D5F" w:rsidRDefault="00D80D5F" w:rsidP="00F61A56">
            <w:pPr>
              <w:rPr>
                <w:rFonts w:ascii="Verdana" w:hAnsi="Verdana"/>
                <w:sz w:val="18"/>
                <w:szCs w:val="20"/>
              </w:rPr>
            </w:pPr>
          </w:p>
          <w:p w:rsidR="00233C2C" w:rsidRDefault="00233C2C" w:rsidP="00F61A56">
            <w:pPr>
              <w:rPr>
                <w:rFonts w:ascii="Verdana" w:hAnsi="Verdana"/>
                <w:sz w:val="18"/>
                <w:szCs w:val="20"/>
              </w:rPr>
            </w:pPr>
          </w:p>
          <w:p w:rsidR="00231CCF" w:rsidRPr="002F31F5" w:rsidRDefault="00F84890" w:rsidP="00B02EA8">
            <w:pPr>
              <w:rPr>
                <w:rFonts w:ascii="Verdana" w:hAnsi="Verdana"/>
                <w:sz w:val="18"/>
                <w:szCs w:val="20"/>
              </w:rPr>
            </w:pPr>
            <w:r>
              <w:rPr>
                <w:rFonts w:ascii="Verdana" w:hAnsi="Verdana"/>
                <w:sz w:val="18"/>
                <w:szCs w:val="20"/>
              </w:rPr>
              <w:t>£</w:t>
            </w:r>
            <w:r w:rsidR="00D83ED8">
              <w:rPr>
                <w:rFonts w:ascii="Verdana" w:hAnsi="Verdana"/>
                <w:sz w:val="18"/>
                <w:szCs w:val="20"/>
              </w:rPr>
              <w:t>5</w:t>
            </w:r>
            <w:r w:rsidR="00B02EA8">
              <w:rPr>
                <w:rFonts w:ascii="Verdana" w:hAnsi="Verdana"/>
                <w:sz w:val="18"/>
                <w:szCs w:val="20"/>
              </w:rPr>
              <w:t>50</w:t>
            </w:r>
          </w:p>
        </w:tc>
        <w:tc>
          <w:tcPr>
            <w:tcW w:w="3402" w:type="dxa"/>
            <w:tcMar>
              <w:top w:w="28" w:type="dxa"/>
              <w:bottom w:w="28" w:type="dxa"/>
            </w:tcMar>
          </w:tcPr>
          <w:p w:rsidR="00BE1A3F" w:rsidRPr="002F31F5" w:rsidRDefault="00BE1A3F" w:rsidP="009363CB">
            <w:pPr>
              <w:pStyle w:val="Default"/>
              <w:rPr>
                <w:rFonts w:ascii="Verdana" w:hAnsi="Verdana"/>
                <w:sz w:val="18"/>
                <w:szCs w:val="20"/>
              </w:rPr>
            </w:pPr>
          </w:p>
          <w:p w:rsidR="00233C2C" w:rsidRDefault="00233C2C" w:rsidP="009363CB">
            <w:pPr>
              <w:pStyle w:val="Default"/>
              <w:rPr>
                <w:rFonts w:ascii="Verdana" w:hAnsi="Verdana"/>
                <w:sz w:val="18"/>
                <w:szCs w:val="20"/>
              </w:rPr>
            </w:pPr>
          </w:p>
          <w:p w:rsidR="00566FF0" w:rsidRDefault="00566FF0" w:rsidP="009363CB">
            <w:pPr>
              <w:pStyle w:val="Default"/>
              <w:rPr>
                <w:rFonts w:ascii="Verdana" w:hAnsi="Verdana"/>
                <w:sz w:val="18"/>
                <w:szCs w:val="20"/>
              </w:rPr>
            </w:pPr>
            <w:r>
              <w:rPr>
                <w:rFonts w:ascii="Verdana" w:hAnsi="Verdana"/>
                <w:sz w:val="18"/>
                <w:szCs w:val="20"/>
              </w:rPr>
              <w:t>Cost of supply to cover absences at meetings etc.</w:t>
            </w:r>
          </w:p>
          <w:p w:rsidR="00233C2C" w:rsidRDefault="00233C2C" w:rsidP="009363CB">
            <w:pPr>
              <w:pStyle w:val="Default"/>
              <w:rPr>
                <w:rFonts w:ascii="Verdana" w:hAnsi="Verdana"/>
                <w:sz w:val="18"/>
                <w:szCs w:val="20"/>
              </w:rPr>
            </w:pPr>
          </w:p>
          <w:p w:rsidR="00233C2C" w:rsidRDefault="00233C2C" w:rsidP="009363CB">
            <w:pPr>
              <w:pStyle w:val="Default"/>
              <w:rPr>
                <w:rFonts w:ascii="Verdana" w:hAnsi="Verdana"/>
                <w:sz w:val="18"/>
                <w:szCs w:val="20"/>
              </w:rPr>
            </w:pPr>
          </w:p>
          <w:p w:rsidR="00F82DE3" w:rsidRDefault="00F82DE3" w:rsidP="009363CB">
            <w:pPr>
              <w:pStyle w:val="Default"/>
              <w:rPr>
                <w:rFonts w:ascii="Verdana" w:hAnsi="Verdana"/>
                <w:sz w:val="18"/>
                <w:szCs w:val="20"/>
              </w:rPr>
            </w:pPr>
            <w:r w:rsidRPr="002F31F5">
              <w:rPr>
                <w:rFonts w:ascii="Verdana" w:hAnsi="Verdana"/>
                <w:sz w:val="18"/>
                <w:szCs w:val="20"/>
              </w:rPr>
              <w:t>Children are showing an increase</w:t>
            </w:r>
            <w:r w:rsidR="00F84890">
              <w:rPr>
                <w:rFonts w:ascii="Verdana" w:hAnsi="Verdana"/>
                <w:sz w:val="18"/>
                <w:szCs w:val="20"/>
              </w:rPr>
              <w:t xml:space="preserve"> in skills – assessments shows progress across the year. </w:t>
            </w:r>
          </w:p>
          <w:p w:rsidR="0086629C" w:rsidRDefault="0086629C" w:rsidP="009363CB">
            <w:pPr>
              <w:pStyle w:val="Default"/>
              <w:rPr>
                <w:rFonts w:ascii="Verdana" w:hAnsi="Verdana"/>
                <w:sz w:val="18"/>
                <w:szCs w:val="20"/>
              </w:rPr>
            </w:pPr>
          </w:p>
          <w:p w:rsidR="00D80D5F" w:rsidRDefault="00D80D5F" w:rsidP="009363CB">
            <w:pPr>
              <w:pStyle w:val="Default"/>
              <w:rPr>
                <w:rFonts w:ascii="Verdana" w:hAnsi="Verdana"/>
                <w:sz w:val="18"/>
                <w:szCs w:val="20"/>
              </w:rPr>
            </w:pPr>
          </w:p>
          <w:p w:rsidR="00231CCF" w:rsidRPr="002F31F5" w:rsidRDefault="00F84890" w:rsidP="009363CB">
            <w:pPr>
              <w:pStyle w:val="Default"/>
              <w:rPr>
                <w:rFonts w:ascii="Verdana" w:hAnsi="Verdana"/>
                <w:sz w:val="18"/>
                <w:szCs w:val="20"/>
              </w:rPr>
            </w:pPr>
            <w:r>
              <w:rPr>
                <w:rFonts w:ascii="Verdana" w:hAnsi="Verdana"/>
                <w:sz w:val="18"/>
                <w:szCs w:val="20"/>
              </w:rPr>
              <w:t xml:space="preserve">Pupils have access to high quality resources  </w:t>
            </w:r>
          </w:p>
        </w:tc>
        <w:tc>
          <w:tcPr>
            <w:tcW w:w="2977" w:type="dxa"/>
            <w:tcMar>
              <w:top w:w="28" w:type="dxa"/>
              <w:bottom w:w="28" w:type="dxa"/>
            </w:tcMar>
          </w:tcPr>
          <w:p w:rsidR="00F82DE3" w:rsidRPr="002F31F5" w:rsidRDefault="00F82DE3" w:rsidP="009363CB">
            <w:pPr>
              <w:rPr>
                <w:rFonts w:ascii="Verdana" w:hAnsi="Verdana"/>
                <w:sz w:val="18"/>
                <w:szCs w:val="20"/>
              </w:rPr>
            </w:pPr>
          </w:p>
          <w:p w:rsidR="00233C2C" w:rsidRDefault="00233C2C" w:rsidP="009363CB">
            <w:pPr>
              <w:rPr>
                <w:rFonts w:ascii="Verdana" w:hAnsi="Verdana"/>
                <w:sz w:val="18"/>
                <w:szCs w:val="20"/>
              </w:rPr>
            </w:pPr>
          </w:p>
          <w:p w:rsidR="00231CCF" w:rsidRPr="002F31F5" w:rsidRDefault="00231CCF" w:rsidP="009363CB">
            <w:pPr>
              <w:rPr>
                <w:rFonts w:ascii="Verdana" w:hAnsi="Verdana"/>
                <w:b/>
                <w:sz w:val="18"/>
                <w:szCs w:val="20"/>
              </w:rPr>
            </w:pPr>
          </w:p>
        </w:tc>
      </w:tr>
    </w:tbl>
    <w:p w:rsidR="002F31F5" w:rsidRDefault="002F31F5"/>
    <w:p w:rsidR="002F31F5" w:rsidRDefault="002F31F5"/>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2F31F5">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r w:rsidR="00531094">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969" w:type="dxa"/>
            <w:tcMar>
              <w:top w:w="28" w:type="dxa"/>
              <w:bottom w:w="28" w:type="dxa"/>
            </w:tcMar>
          </w:tcPr>
          <w:p w:rsidR="00074DA2" w:rsidRDefault="00F82DE3" w:rsidP="002F31F5">
            <w:pPr>
              <w:rPr>
                <w:rFonts w:ascii="Verdana" w:hAnsi="Verdana"/>
                <w:sz w:val="18"/>
                <w:szCs w:val="18"/>
              </w:rPr>
            </w:pPr>
            <w:r w:rsidRPr="00F82DE3">
              <w:rPr>
                <w:rFonts w:ascii="Verdana" w:hAnsi="Verdana"/>
                <w:sz w:val="18"/>
                <w:szCs w:val="18"/>
              </w:rPr>
              <w:t>KS 1 children have access t</w:t>
            </w:r>
            <w:r>
              <w:rPr>
                <w:rFonts w:ascii="Verdana" w:hAnsi="Verdana"/>
                <w:sz w:val="18"/>
                <w:szCs w:val="18"/>
              </w:rPr>
              <w:t>o a variety of outside spaces</w:t>
            </w:r>
            <w:r w:rsidR="00C54522">
              <w:rPr>
                <w:rFonts w:ascii="Verdana" w:hAnsi="Verdana"/>
                <w:sz w:val="18"/>
                <w:szCs w:val="18"/>
              </w:rPr>
              <w:t xml:space="preserve"> including Forest School provision.</w:t>
            </w: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054071" w:rsidRDefault="00054071" w:rsidP="002F31F5">
            <w:pPr>
              <w:rPr>
                <w:rFonts w:ascii="Verdana" w:hAnsi="Verdana"/>
                <w:sz w:val="18"/>
                <w:szCs w:val="18"/>
              </w:rPr>
            </w:pPr>
          </w:p>
          <w:p w:rsidR="00054071" w:rsidRDefault="00054071" w:rsidP="002F31F5">
            <w:pPr>
              <w:rPr>
                <w:rFonts w:ascii="Verdana" w:hAnsi="Verdana"/>
                <w:sz w:val="18"/>
                <w:szCs w:val="18"/>
              </w:rPr>
            </w:pPr>
          </w:p>
          <w:p w:rsidR="00054071" w:rsidRDefault="00054071" w:rsidP="002F31F5">
            <w:pPr>
              <w:rPr>
                <w:rFonts w:ascii="Verdana" w:hAnsi="Verdana"/>
                <w:sz w:val="18"/>
                <w:szCs w:val="18"/>
              </w:rPr>
            </w:pPr>
            <w:r>
              <w:rPr>
                <w:rFonts w:ascii="Verdana" w:hAnsi="Verdana"/>
                <w:sz w:val="18"/>
                <w:szCs w:val="18"/>
              </w:rPr>
              <w:t>After school club provision</w:t>
            </w:r>
            <w:r w:rsidR="00601EB1">
              <w:rPr>
                <w:rFonts w:ascii="Verdana" w:hAnsi="Verdana"/>
                <w:sz w:val="18"/>
                <w:szCs w:val="18"/>
              </w:rPr>
              <w:t xml:space="preserve"> (Private provider</w:t>
            </w:r>
            <w:r w:rsidR="00566FF0">
              <w:rPr>
                <w:rFonts w:ascii="Verdana" w:hAnsi="Verdana"/>
                <w:sz w:val="18"/>
                <w:szCs w:val="18"/>
              </w:rPr>
              <w:t xml:space="preserve"> &amp; TA led)</w:t>
            </w:r>
            <w:r>
              <w:rPr>
                <w:rFonts w:ascii="Verdana" w:hAnsi="Verdana"/>
                <w:sz w:val="18"/>
                <w:szCs w:val="18"/>
              </w:rPr>
              <w:t xml:space="preserve"> – A range of clubs to be provided including: foot</w:t>
            </w:r>
            <w:r w:rsidR="00231CCF">
              <w:rPr>
                <w:rFonts w:ascii="Verdana" w:hAnsi="Verdana"/>
                <w:sz w:val="18"/>
                <w:szCs w:val="18"/>
              </w:rPr>
              <w:t xml:space="preserve">ball, netball, hockey, cycling </w:t>
            </w:r>
            <w:r w:rsidR="00566FF0">
              <w:rPr>
                <w:rFonts w:ascii="Verdana" w:hAnsi="Verdana"/>
                <w:sz w:val="18"/>
                <w:szCs w:val="18"/>
              </w:rPr>
              <w:t>etc.</w:t>
            </w:r>
          </w:p>
          <w:p w:rsidR="00074DA2" w:rsidRDefault="00074DA2" w:rsidP="002F31F5">
            <w:pPr>
              <w:rPr>
                <w:rFonts w:ascii="Verdana" w:hAnsi="Verdana"/>
                <w:sz w:val="18"/>
                <w:szCs w:val="18"/>
              </w:rPr>
            </w:pPr>
          </w:p>
          <w:p w:rsidR="00F82DE3" w:rsidRDefault="00F82DE3" w:rsidP="002F31F5">
            <w:pPr>
              <w:rPr>
                <w:rFonts w:ascii="Verdana" w:hAnsi="Verdana"/>
                <w:sz w:val="18"/>
                <w:szCs w:val="18"/>
              </w:rPr>
            </w:pPr>
          </w:p>
          <w:p w:rsidR="00F17E54" w:rsidRDefault="00F17E54" w:rsidP="002F31F5">
            <w:pPr>
              <w:rPr>
                <w:rFonts w:ascii="Verdana" w:hAnsi="Verdana"/>
                <w:sz w:val="18"/>
                <w:szCs w:val="18"/>
              </w:rPr>
            </w:pPr>
          </w:p>
          <w:p w:rsidR="00F17E54" w:rsidRPr="004D1A0F" w:rsidRDefault="00F17E54" w:rsidP="002F31F5">
            <w:pPr>
              <w:rPr>
                <w:rFonts w:ascii="Verdana" w:hAnsi="Verdana"/>
                <w:sz w:val="18"/>
                <w:szCs w:val="18"/>
              </w:rPr>
            </w:pPr>
          </w:p>
        </w:tc>
        <w:tc>
          <w:tcPr>
            <w:tcW w:w="1701" w:type="dxa"/>
            <w:tcMar>
              <w:top w:w="28" w:type="dxa"/>
              <w:bottom w:w="28" w:type="dxa"/>
            </w:tcMar>
          </w:tcPr>
          <w:p w:rsidR="00F82DE3" w:rsidRDefault="00D83ED8" w:rsidP="002F31F5">
            <w:pPr>
              <w:rPr>
                <w:rFonts w:ascii="Verdana" w:hAnsi="Verdana"/>
                <w:sz w:val="18"/>
                <w:szCs w:val="18"/>
              </w:rPr>
            </w:pPr>
            <w:r>
              <w:rPr>
                <w:rFonts w:ascii="Verdana" w:hAnsi="Verdana"/>
                <w:sz w:val="18"/>
                <w:szCs w:val="18"/>
              </w:rPr>
              <w:lastRenderedPageBreak/>
              <w:t>£16</w:t>
            </w:r>
            <w:r w:rsidR="00F84890">
              <w:rPr>
                <w:rFonts w:ascii="Verdana" w:hAnsi="Verdana"/>
                <w:sz w:val="18"/>
                <w:szCs w:val="18"/>
              </w:rPr>
              <w:t>00</w:t>
            </w:r>
            <w:r w:rsidR="00C54522">
              <w:rPr>
                <w:rFonts w:ascii="Verdana" w:hAnsi="Verdana"/>
                <w:sz w:val="18"/>
                <w:szCs w:val="18"/>
              </w:rPr>
              <w:t xml:space="preserve"> cost for Forest School</w:t>
            </w:r>
          </w:p>
          <w:p w:rsidR="00F82DE3" w:rsidRDefault="00F82DE3" w:rsidP="002F31F5">
            <w:pPr>
              <w:rPr>
                <w:rFonts w:ascii="Verdana" w:hAnsi="Verdana"/>
                <w:sz w:val="18"/>
                <w:szCs w:val="18"/>
              </w:rPr>
            </w:pPr>
          </w:p>
          <w:p w:rsidR="00365996" w:rsidRDefault="00365996" w:rsidP="00F17E54">
            <w:pPr>
              <w:rPr>
                <w:rFonts w:ascii="Verdana" w:hAnsi="Verdana"/>
                <w:sz w:val="18"/>
                <w:szCs w:val="18"/>
              </w:rPr>
            </w:pPr>
          </w:p>
          <w:p w:rsidR="00F17E54" w:rsidRDefault="00F17E54" w:rsidP="00F17E54">
            <w:pPr>
              <w:rPr>
                <w:rFonts w:ascii="Verdana" w:hAnsi="Verdana"/>
                <w:sz w:val="18"/>
                <w:szCs w:val="18"/>
              </w:rPr>
            </w:pPr>
          </w:p>
          <w:p w:rsidR="0086629C" w:rsidRDefault="0086629C" w:rsidP="00F17E54">
            <w:pPr>
              <w:rPr>
                <w:rFonts w:ascii="Verdana" w:hAnsi="Verdana"/>
                <w:sz w:val="18"/>
                <w:szCs w:val="18"/>
              </w:rPr>
            </w:pPr>
          </w:p>
          <w:p w:rsidR="0086629C" w:rsidRDefault="0086629C" w:rsidP="00F17E54">
            <w:pPr>
              <w:rPr>
                <w:rFonts w:ascii="Verdana" w:hAnsi="Verdana"/>
                <w:sz w:val="18"/>
                <w:szCs w:val="18"/>
              </w:rPr>
            </w:pPr>
          </w:p>
          <w:p w:rsidR="00566FF0" w:rsidRDefault="00566FF0" w:rsidP="00F17E54">
            <w:pPr>
              <w:rPr>
                <w:rFonts w:ascii="Verdana" w:hAnsi="Verdana"/>
                <w:sz w:val="18"/>
                <w:szCs w:val="18"/>
              </w:rPr>
            </w:pPr>
          </w:p>
          <w:p w:rsidR="00566FF0" w:rsidRDefault="00566FF0" w:rsidP="00F17E54">
            <w:pPr>
              <w:rPr>
                <w:rFonts w:ascii="Verdana" w:hAnsi="Verdana"/>
                <w:sz w:val="18"/>
                <w:szCs w:val="18"/>
              </w:rPr>
            </w:pPr>
          </w:p>
          <w:p w:rsidR="00566FF0" w:rsidRDefault="00566FF0" w:rsidP="00F17E54">
            <w:pPr>
              <w:rPr>
                <w:rFonts w:ascii="Verdana" w:hAnsi="Verdana"/>
                <w:sz w:val="18"/>
                <w:szCs w:val="18"/>
              </w:rPr>
            </w:pPr>
          </w:p>
          <w:p w:rsidR="00566FF0" w:rsidRPr="004D1A0F" w:rsidRDefault="00601EB1" w:rsidP="00F17E54">
            <w:pPr>
              <w:rPr>
                <w:rFonts w:ascii="Verdana" w:hAnsi="Verdana"/>
                <w:sz w:val="18"/>
                <w:szCs w:val="18"/>
              </w:rPr>
            </w:pPr>
            <w:r>
              <w:rPr>
                <w:rFonts w:ascii="Verdana" w:hAnsi="Verdana"/>
                <w:sz w:val="18"/>
                <w:szCs w:val="18"/>
              </w:rPr>
              <w:t>£3500</w:t>
            </w:r>
          </w:p>
        </w:tc>
        <w:tc>
          <w:tcPr>
            <w:tcW w:w="3402" w:type="dxa"/>
            <w:tcMar>
              <w:top w:w="28" w:type="dxa"/>
              <w:bottom w:w="28" w:type="dxa"/>
            </w:tcMar>
          </w:tcPr>
          <w:p w:rsidR="00F82DE3" w:rsidRDefault="00F82DE3" w:rsidP="002F31F5">
            <w:pPr>
              <w:rPr>
                <w:rFonts w:ascii="Verdana" w:hAnsi="Verdana"/>
                <w:sz w:val="18"/>
                <w:szCs w:val="18"/>
              </w:rPr>
            </w:pPr>
            <w:r>
              <w:rPr>
                <w:rFonts w:ascii="Verdana" w:hAnsi="Verdana"/>
                <w:sz w:val="18"/>
                <w:szCs w:val="18"/>
              </w:rPr>
              <w:t>I</w:t>
            </w:r>
            <w:r w:rsidRPr="00F82DE3">
              <w:rPr>
                <w:rFonts w:ascii="Verdana" w:hAnsi="Verdana"/>
                <w:sz w:val="18"/>
                <w:szCs w:val="18"/>
              </w:rPr>
              <w:t xml:space="preserve">ncreased access to outside spaces for younger children – </w:t>
            </w:r>
            <w:r w:rsidR="00C54522">
              <w:rPr>
                <w:rFonts w:ascii="Verdana" w:hAnsi="Verdana"/>
                <w:sz w:val="18"/>
                <w:szCs w:val="18"/>
              </w:rPr>
              <w:t>engaging with ’softer surfaces’ and to experience an outdoor learning environment through Forest School.</w:t>
            </w:r>
          </w:p>
          <w:p w:rsidR="0086629C" w:rsidRDefault="0086629C" w:rsidP="002F31F5">
            <w:pPr>
              <w:rPr>
                <w:rFonts w:ascii="Verdana" w:hAnsi="Verdana"/>
                <w:sz w:val="18"/>
                <w:szCs w:val="18"/>
              </w:rPr>
            </w:pPr>
          </w:p>
          <w:p w:rsidR="0086629C" w:rsidRDefault="0086629C" w:rsidP="002F31F5">
            <w:pPr>
              <w:rPr>
                <w:rFonts w:ascii="Verdana" w:hAnsi="Verdana"/>
                <w:sz w:val="18"/>
                <w:szCs w:val="18"/>
              </w:rPr>
            </w:pPr>
            <w:r>
              <w:rPr>
                <w:rFonts w:ascii="Verdana" w:hAnsi="Verdana"/>
                <w:sz w:val="18"/>
                <w:szCs w:val="18"/>
              </w:rPr>
              <w:t>Young children develop mindfulness skills.</w:t>
            </w:r>
          </w:p>
          <w:p w:rsidR="00231CCF" w:rsidRPr="004D1A0F" w:rsidRDefault="00231CCF" w:rsidP="002F31F5">
            <w:pPr>
              <w:rPr>
                <w:rFonts w:ascii="Verdana" w:hAnsi="Verdana"/>
                <w:sz w:val="18"/>
                <w:szCs w:val="18"/>
              </w:rPr>
            </w:pPr>
            <w:r>
              <w:rPr>
                <w:rFonts w:ascii="Verdana" w:hAnsi="Verdana"/>
                <w:sz w:val="18"/>
                <w:szCs w:val="18"/>
              </w:rPr>
              <w:t xml:space="preserve">Opportunities provided by the school to ensure safe after school delivery of physical activities </w:t>
            </w:r>
            <w:r>
              <w:rPr>
                <w:rFonts w:ascii="Verdana" w:hAnsi="Verdana"/>
                <w:sz w:val="18"/>
                <w:szCs w:val="18"/>
              </w:rPr>
              <w:lastRenderedPageBreak/>
              <w:t>ensuring guidelines are being met to get children moving.</w:t>
            </w:r>
          </w:p>
        </w:tc>
        <w:tc>
          <w:tcPr>
            <w:tcW w:w="2977" w:type="dxa"/>
            <w:tcMar>
              <w:top w:w="28" w:type="dxa"/>
              <w:bottom w:w="28" w:type="dxa"/>
            </w:tcMar>
          </w:tcPr>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F82DE3" w:rsidRDefault="00F82DE3" w:rsidP="002F31F5">
            <w:pPr>
              <w:rPr>
                <w:rFonts w:ascii="Verdana" w:hAnsi="Verdana"/>
                <w:sz w:val="18"/>
                <w:szCs w:val="18"/>
              </w:rPr>
            </w:pPr>
          </w:p>
          <w:p w:rsidR="00F82DE3" w:rsidRDefault="00F82DE3" w:rsidP="002F31F5">
            <w:pPr>
              <w:rPr>
                <w:rFonts w:ascii="Verdana" w:hAnsi="Verdana"/>
                <w:sz w:val="18"/>
                <w:szCs w:val="18"/>
              </w:rPr>
            </w:pPr>
          </w:p>
          <w:p w:rsidR="00F17E54" w:rsidRPr="004D1A0F" w:rsidRDefault="00F17E54" w:rsidP="002F31F5">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Diverse &amp;</w:t>
            </w:r>
            <w:r w:rsidR="00531094">
              <w:rPr>
                <w:rFonts w:ascii="Verdana" w:hAnsi="Verdana"/>
                <w:b/>
                <w:color w:val="C2D69B" w:themeColor="accent3" w:themeTint="99"/>
              </w:rPr>
              <w:t xml:space="preserve"> </w:t>
            </w:r>
            <w:r w:rsidRPr="000D2C43">
              <w:rPr>
                <w:rFonts w:ascii="Verdana" w:hAnsi="Verdana"/>
                <w:b/>
                <w:color w:val="C2D69B" w:themeColor="accent3" w:themeTint="99"/>
              </w:rPr>
              <w:t>Inclusive</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969" w:type="dxa"/>
            <w:tcMar>
              <w:top w:w="28" w:type="dxa"/>
              <w:bottom w:w="28" w:type="dxa"/>
            </w:tcMar>
            <w:vAlign w:val="center"/>
          </w:tcPr>
          <w:p w:rsidR="00074DA2" w:rsidRDefault="00C00ED9" w:rsidP="009364F1">
            <w:pPr>
              <w:rPr>
                <w:rFonts w:ascii="Verdana" w:hAnsi="Verdana"/>
                <w:sz w:val="18"/>
                <w:szCs w:val="18"/>
              </w:rPr>
            </w:pPr>
            <w:r>
              <w:rPr>
                <w:rFonts w:ascii="Verdana" w:hAnsi="Verdana"/>
                <w:sz w:val="18"/>
                <w:szCs w:val="18"/>
              </w:rPr>
              <w:t xml:space="preserve">KS1 and Vulnerable KS2 children attend inclusion festivals @ Penryn College. </w:t>
            </w:r>
          </w:p>
          <w:p w:rsidR="00C00ED9" w:rsidRDefault="00C00ED9"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C00ED9" w:rsidRDefault="00C00ED9" w:rsidP="009364F1">
            <w:pPr>
              <w:rPr>
                <w:rFonts w:ascii="Verdana" w:hAnsi="Verdana"/>
                <w:sz w:val="18"/>
                <w:szCs w:val="18"/>
              </w:rPr>
            </w:pPr>
            <w:r>
              <w:rPr>
                <w:rFonts w:ascii="Verdana" w:hAnsi="Verdana"/>
                <w:sz w:val="18"/>
                <w:szCs w:val="18"/>
              </w:rPr>
              <w:t>KS2 (Y6) children attend an Active Club @ Penryn College – specifically designed for vulnerable children</w:t>
            </w:r>
          </w:p>
          <w:p w:rsidR="00C00ED9" w:rsidRDefault="00C00ED9" w:rsidP="009364F1">
            <w:pPr>
              <w:rPr>
                <w:rFonts w:ascii="Verdana" w:hAnsi="Verdana"/>
                <w:sz w:val="18"/>
                <w:szCs w:val="18"/>
              </w:rPr>
            </w:pPr>
          </w:p>
          <w:p w:rsidR="00C00ED9" w:rsidRDefault="00C00ED9"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4A76FB" w:rsidRDefault="00601EB1" w:rsidP="009364F1">
            <w:pPr>
              <w:rPr>
                <w:rFonts w:ascii="Verdana" w:hAnsi="Verdana"/>
                <w:sz w:val="18"/>
                <w:szCs w:val="18"/>
              </w:rPr>
            </w:pPr>
            <w:r>
              <w:rPr>
                <w:rFonts w:ascii="Verdana" w:hAnsi="Verdana"/>
                <w:sz w:val="18"/>
                <w:szCs w:val="18"/>
              </w:rPr>
              <w:t xml:space="preserve">Paddle boarding, Sailing, </w:t>
            </w:r>
            <w:r w:rsidR="00054071">
              <w:rPr>
                <w:rFonts w:ascii="Verdana" w:hAnsi="Verdana"/>
                <w:sz w:val="18"/>
                <w:szCs w:val="18"/>
              </w:rPr>
              <w:t>windsurfing</w:t>
            </w:r>
            <w:r>
              <w:rPr>
                <w:rFonts w:ascii="Verdana" w:hAnsi="Verdana"/>
                <w:sz w:val="18"/>
                <w:szCs w:val="18"/>
              </w:rPr>
              <w:t xml:space="preserve"> and </w:t>
            </w:r>
            <w:proofErr w:type="gramStart"/>
            <w:r>
              <w:rPr>
                <w:rFonts w:ascii="Verdana" w:hAnsi="Verdana"/>
                <w:sz w:val="18"/>
                <w:szCs w:val="18"/>
              </w:rPr>
              <w:t xml:space="preserve">surfing </w:t>
            </w:r>
            <w:r w:rsidR="00054071">
              <w:rPr>
                <w:rFonts w:ascii="Verdana" w:hAnsi="Verdana"/>
                <w:sz w:val="18"/>
                <w:szCs w:val="18"/>
              </w:rPr>
              <w:t xml:space="preserve"> </w:t>
            </w:r>
            <w:r w:rsidR="004A76FB">
              <w:rPr>
                <w:rFonts w:ascii="Verdana" w:hAnsi="Verdana"/>
                <w:sz w:val="18"/>
                <w:szCs w:val="18"/>
              </w:rPr>
              <w:t>opportunity</w:t>
            </w:r>
            <w:proofErr w:type="gramEnd"/>
            <w:r w:rsidR="004A76FB">
              <w:rPr>
                <w:rFonts w:ascii="Verdana" w:hAnsi="Verdana"/>
                <w:sz w:val="18"/>
                <w:szCs w:val="18"/>
              </w:rPr>
              <w:t xml:space="preserve"> subsidised by parents.</w:t>
            </w:r>
          </w:p>
          <w:p w:rsidR="00C00ED9" w:rsidRDefault="00C00ED9"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57055D" w:rsidRDefault="0057055D" w:rsidP="009364F1">
            <w:pPr>
              <w:rPr>
                <w:rFonts w:ascii="Verdana" w:hAnsi="Verdana"/>
                <w:sz w:val="18"/>
                <w:szCs w:val="18"/>
              </w:rPr>
            </w:pPr>
          </w:p>
          <w:p w:rsidR="0057055D" w:rsidRPr="004D1A0F" w:rsidRDefault="0057055D" w:rsidP="009364F1">
            <w:pPr>
              <w:rPr>
                <w:rFonts w:ascii="Verdana" w:hAnsi="Verdana"/>
                <w:sz w:val="18"/>
                <w:szCs w:val="18"/>
              </w:rPr>
            </w:pPr>
          </w:p>
        </w:tc>
        <w:tc>
          <w:tcPr>
            <w:tcW w:w="1701" w:type="dxa"/>
            <w:tcMar>
              <w:top w:w="28" w:type="dxa"/>
              <w:bottom w:w="28" w:type="dxa"/>
            </w:tcMar>
          </w:tcPr>
          <w:p w:rsidR="00C00ED9" w:rsidRDefault="004A76FB" w:rsidP="009363CB">
            <w:pPr>
              <w:rPr>
                <w:rFonts w:ascii="Verdana" w:hAnsi="Verdana"/>
                <w:sz w:val="18"/>
                <w:szCs w:val="18"/>
              </w:rPr>
            </w:pPr>
            <w:r>
              <w:rPr>
                <w:rFonts w:ascii="Verdana" w:hAnsi="Verdana"/>
                <w:sz w:val="18"/>
                <w:szCs w:val="18"/>
              </w:rPr>
              <w:t>C</w:t>
            </w:r>
            <w:r w:rsidR="00C00ED9">
              <w:rPr>
                <w:rFonts w:ascii="Verdana" w:hAnsi="Verdana"/>
                <w:sz w:val="18"/>
                <w:szCs w:val="18"/>
              </w:rPr>
              <w:t>overed by school</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9B4BD3" w:rsidRDefault="00C00ED9" w:rsidP="009363CB">
            <w:pPr>
              <w:rPr>
                <w:rFonts w:ascii="Verdana" w:hAnsi="Verdana"/>
                <w:sz w:val="18"/>
                <w:szCs w:val="18"/>
              </w:rPr>
            </w:pPr>
            <w:r>
              <w:rPr>
                <w:rFonts w:ascii="Verdana" w:hAnsi="Verdana"/>
                <w:sz w:val="18"/>
                <w:szCs w:val="18"/>
              </w:rPr>
              <w:t xml:space="preserve">Part of the Penryn College SLA </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4A76FB" w:rsidRDefault="00601EB1" w:rsidP="009363CB">
            <w:pPr>
              <w:rPr>
                <w:rFonts w:ascii="Verdana" w:hAnsi="Verdana"/>
                <w:sz w:val="18"/>
                <w:szCs w:val="18"/>
              </w:rPr>
            </w:pPr>
            <w:r>
              <w:rPr>
                <w:rFonts w:ascii="Verdana" w:hAnsi="Verdana"/>
                <w:sz w:val="18"/>
                <w:szCs w:val="18"/>
              </w:rPr>
              <w:t>£1000</w:t>
            </w:r>
            <w:r w:rsidR="00054071">
              <w:rPr>
                <w:rFonts w:ascii="Verdana" w:hAnsi="Verdana"/>
                <w:sz w:val="18"/>
                <w:szCs w:val="18"/>
              </w:rPr>
              <w:t xml:space="preserve"> (contingency if shortfall)</w:t>
            </w:r>
          </w:p>
          <w:p w:rsidR="00C00ED9" w:rsidRPr="004D1A0F" w:rsidRDefault="00C00ED9" w:rsidP="009363CB">
            <w:pPr>
              <w:rPr>
                <w:rFonts w:ascii="Verdana" w:hAnsi="Verdana"/>
                <w:sz w:val="18"/>
                <w:szCs w:val="18"/>
              </w:rPr>
            </w:pPr>
          </w:p>
        </w:tc>
        <w:tc>
          <w:tcPr>
            <w:tcW w:w="3402" w:type="dxa"/>
            <w:tcMar>
              <w:top w:w="28" w:type="dxa"/>
              <w:bottom w:w="28" w:type="dxa"/>
            </w:tcMar>
          </w:tcPr>
          <w:p w:rsidR="009B4BD3" w:rsidRDefault="00C00ED9" w:rsidP="009363CB">
            <w:pPr>
              <w:rPr>
                <w:rFonts w:ascii="Verdana" w:hAnsi="Verdana"/>
                <w:sz w:val="18"/>
                <w:szCs w:val="18"/>
              </w:rPr>
            </w:pPr>
            <w:r>
              <w:rPr>
                <w:rFonts w:ascii="Verdana" w:hAnsi="Verdana"/>
                <w:sz w:val="18"/>
                <w:szCs w:val="18"/>
              </w:rPr>
              <w:t>Pupils are more confident in s</w:t>
            </w:r>
            <w:r w:rsidR="004A76FB">
              <w:rPr>
                <w:rFonts w:ascii="Verdana" w:hAnsi="Verdana"/>
                <w:sz w:val="18"/>
                <w:szCs w:val="18"/>
              </w:rPr>
              <w:t>p</w:t>
            </w:r>
            <w:r>
              <w:rPr>
                <w:rFonts w:ascii="Verdana" w:hAnsi="Verdana"/>
                <w:sz w:val="18"/>
                <w:szCs w:val="18"/>
              </w:rPr>
              <w:t xml:space="preserve">orts and in speaking and listening activities. Confidence is improved in class and through academic learning </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r>
              <w:rPr>
                <w:rFonts w:ascii="Verdana" w:hAnsi="Verdana"/>
                <w:sz w:val="18"/>
                <w:szCs w:val="18"/>
              </w:rPr>
              <w:t xml:space="preserve">Pupils are more confident to get involved with sport. Pupils are more confident to develop a growth </w:t>
            </w:r>
            <w:proofErr w:type="spellStart"/>
            <w:r>
              <w:rPr>
                <w:rFonts w:ascii="Verdana" w:hAnsi="Verdana"/>
                <w:sz w:val="18"/>
                <w:szCs w:val="18"/>
              </w:rPr>
              <w:t>mindset</w:t>
            </w:r>
            <w:proofErr w:type="spellEnd"/>
            <w:r>
              <w:rPr>
                <w:rFonts w:ascii="Verdana" w:hAnsi="Verdana"/>
                <w:sz w:val="18"/>
                <w:szCs w:val="18"/>
              </w:rPr>
              <w:t xml:space="preserve">. </w:t>
            </w: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054071" w:rsidRDefault="00054071" w:rsidP="009363CB">
            <w:pPr>
              <w:rPr>
                <w:rFonts w:ascii="Verdana" w:hAnsi="Verdana"/>
                <w:sz w:val="18"/>
                <w:szCs w:val="18"/>
              </w:rPr>
            </w:pPr>
          </w:p>
          <w:p w:rsidR="004A76FB" w:rsidRPr="004D1A0F" w:rsidRDefault="004A76FB" w:rsidP="009363CB">
            <w:pPr>
              <w:rPr>
                <w:rFonts w:ascii="Verdana" w:hAnsi="Verdana"/>
                <w:sz w:val="18"/>
                <w:szCs w:val="18"/>
              </w:rPr>
            </w:pPr>
            <w:r>
              <w:rPr>
                <w:rFonts w:ascii="Verdana" w:hAnsi="Verdana"/>
                <w:sz w:val="18"/>
                <w:szCs w:val="18"/>
              </w:rPr>
              <w:t xml:space="preserve">Opportunity for those </w:t>
            </w:r>
            <w:r w:rsidR="0057055D">
              <w:rPr>
                <w:rFonts w:ascii="Verdana" w:hAnsi="Verdana"/>
                <w:sz w:val="18"/>
                <w:szCs w:val="18"/>
              </w:rPr>
              <w:t>living in a sailing community who may not have access to the activity enabling inclusion.</w:t>
            </w:r>
          </w:p>
        </w:tc>
        <w:tc>
          <w:tcPr>
            <w:tcW w:w="2977" w:type="dxa"/>
            <w:tcMar>
              <w:top w:w="28" w:type="dxa"/>
              <w:bottom w:w="28" w:type="dxa"/>
            </w:tcMar>
          </w:tcPr>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Pr="004D1A0F" w:rsidRDefault="00C00ED9" w:rsidP="00601EB1">
            <w:pPr>
              <w:rPr>
                <w:rFonts w:ascii="Verdana" w:hAnsi="Verdana"/>
                <w:sz w:val="18"/>
                <w:szCs w:val="18"/>
              </w:rPr>
            </w:pPr>
          </w:p>
        </w:tc>
      </w:tr>
      <w:tr w:rsidR="00BD1CC4" w:rsidTr="001C38D2">
        <w:tc>
          <w:tcPr>
            <w:tcW w:w="3510" w:type="dxa"/>
            <w:shd w:val="clear" w:color="auto" w:fill="215868" w:themeFill="accent5" w:themeFillShade="80"/>
            <w:vAlign w:val="center"/>
          </w:tcPr>
          <w:p w:rsidR="00BD1CC4" w:rsidRDefault="00BD1CC4" w:rsidP="00BD1CC4">
            <w:pPr>
              <w:jc w:val="center"/>
              <w:rPr>
                <w:rFonts w:ascii="Verdana" w:hAnsi="Verdana"/>
                <w:b/>
                <w:color w:val="C2D69B" w:themeColor="accent3" w:themeTint="99"/>
              </w:rPr>
            </w:pPr>
            <w:r w:rsidRPr="000D2C43">
              <w:rPr>
                <w:rFonts w:ascii="Verdana" w:hAnsi="Verdana"/>
                <w:b/>
                <w:color w:val="C2D69B" w:themeColor="accent3" w:themeTint="99"/>
              </w:rPr>
              <w:t>Competitions</w:t>
            </w:r>
          </w:p>
          <w:p w:rsidR="00BD1CC4" w:rsidRDefault="00BD1CC4" w:rsidP="00BD1CC4">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rsidR="00BD1CC4" w:rsidRDefault="00BD1CC4" w:rsidP="00BD1CC4">
            <w:pPr>
              <w:spacing w:before="120"/>
              <w:jc w:val="center"/>
              <w:rPr>
                <w:rFonts w:ascii="Verdana" w:hAnsi="Verdana"/>
                <w:i/>
                <w:color w:val="C2D69B" w:themeColor="accent3" w:themeTint="99"/>
                <w:sz w:val="16"/>
                <w:szCs w:val="16"/>
              </w:rPr>
            </w:pPr>
          </w:p>
          <w:p w:rsidR="00BD1CC4" w:rsidRPr="000D2C43" w:rsidRDefault="00BD1CC4" w:rsidP="00BD1CC4">
            <w:pPr>
              <w:jc w:val="center"/>
              <w:rPr>
                <w:rFonts w:ascii="Verdana" w:hAnsi="Verdana"/>
                <w:b/>
                <w:color w:val="C2D69B" w:themeColor="accent3" w:themeTint="99"/>
              </w:rPr>
            </w:pPr>
            <w:r w:rsidRPr="00EE25FD">
              <w:rPr>
                <w:rFonts w:ascii="Verdana" w:hAnsi="Verdana"/>
                <w:b/>
                <w:i/>
                <w:color w:val="C2D69B" w:themeColor="accent3" w:themeTint="99"/>
                <w:sz w:val="16"/>
                <w:szCs w:val="16"/>
              </w:rPr>
              <w:t>(Key Indicator 5)</w:t>
            </w:r>
          </w:p>
        </w:tc>
        <w:tc>
          <w:tcPr>
            <w:tcW w:w="3969" w:type="dxa"/>
            <w:tcMar>
              <w:top w:w="28" w:type="dxa"/>
              <w:bottom w:w="28" w:type="dxa"/>
            </w:tcMar>
            <w:vAlign w:val="center"/>
          </w:tcPr>
          <w:p w:rsidR="00BD1CC4" w:rsidRDefault="00BD1CC4" w:rsidP="00BD1CC4">
            <w:pPr>
              <w:rPr>
                <w:rFonts w:ascii="Verdana" w:hAnsi="Verdana"/>
                <w:sz w:val="18"/>
                <w:szCs w:val="18"/>
              </w:rPr>
            </w:pPr>
            <w:r>
              <w:rPr>
                <w:rFonts w:ascii="Verdana" w:hAnsi="Verdana"/>
                <w:sz w:val="18"/>
                <w:szCs w:val="18"/>
              </w:rPr>
              <w:t>As in p</w:t>
            </w:r>
            <w:r w:rsidR="00601EB1">
              <w:rPr>
                <w:rFonts w:ascii="Verdana" w:hAnsi="Verdana"/>
                <w:sz w:val="18"/>
                <w:szCs w:val="18"/>
              </w:rPr>
              <w:t>r</w:t>
            </w:r>
            <w:r>
              <w:rPr>
                <w:rFonts w:ascii="Verdana" w:hAnsi="Verdana"/>
                <w:sz w:val="18"/>
                <w:szCs w:val="18"/>
              </w:rPr>
              <w:t>evious years,</w:t>
            </w:r>
            <w:r w:rsidRPr="00F82DE3">
              <w:rPr>
                <w:rFonts w:ascii="Verdana" w:hAnsi="Verdana"/>
                <w:sz w:val="18"/>
                <w:szCs w:val="18"/>
              </w:rPr>
              <w:t xml:space="preserve"> the school will be buying into the Penryn College Sports Partnership</w:t>
            </w:r>
            <w:r>
              <w:rPr>
                <w:rFonts w:ascii="Verdana" w:hAnsi="Verdana"/>
                <w:sz w:val="18"/>
                <w:szCs w:val="18"/>
              </w:rPr>
              <w:t xml:space="preserve">. Includes provision of inter school competitions / leagues </w:t>
            </w:r>
          </w:p>
          <w:p w:rsidR="00BD1CC4" w:rsidRPr="00BD1CC4" w:rsidRDefault="00BD1CC4" w:rsidP="00BD1CC4">
            <w:pPr>
              <w:rPr>
                <w:rFonts w:ascii="Verdana" w:hAnsi="Verdana"/>
                <w:sz w:val="18"/>
                <w:szCs w:val="18"/>
              </w:rPr>
            </w:pPr>
            <w:r>
              <w:rPr>
                <w:rFonts w:ascii="Verdana" w:hAnsi="Verdana"/>
                <w:sz w:val="18"/>
                <w:szCs w:val="18"/>
              </w:rPr>
              <w:t>Pro</w:t>
            </w:r>
            <w:r w:rsidR="00054071">
              <w:rPr>
                <w:rFonts w:ascii="Verdana" w:hAnsi="Verdana"/>
                <w:sz w:val="18"/>
                <w:szCs w:val="18"/>
              </w:rPr>
              <w:t>vision of after / out of school</w:t>
            </w:r>
            <w:r>
              <w:rPr>
                <w:rFonts w:ascii="Verdana" w:hAnsi="Verdana"/>
                <w:sz w:val="18"/>
                <w:szCs w:val="18"/>
              </w:rPr>
              <w:t xml:space="preserve"> competitions including: football, netball, t</w:t>
            </w:r>
            <w:r w:rsidR="00054071">
              <w:rPr>
                <w:rFonts w:ascii="Verdana" w:hAnsi="Verdana"/>
                <w:sz w:val="18"/>
                <w:szCs w:val="18"/>
              </w:rPr>
              <w:t>ouch rugby, basketball, Multi-Skills,</w:t>
            </w:r>
            <w:r>
              <w:rPr>
                <w:rFonts w:ascii="Verdana" w:hAnsi="Verdana"/>
                <w:sz w:val="18"/>
                <w:szCs w:val="18"/>
              </w:rPr>
              <w:t xml:space="preserve"> Athletics, Quad Kids, cross country, gymn</w:t>
            </w:r>
            <w:r w:rsidR="00054071">
              <w:rPr>
                <w:rFonts w:ascii="Verdana" w:hAnsi="Verdana"/>
                <w:sz w:val="18"/>
                <w:szCs w:val="18"/>
              </w:rPr>
              <w:t>astics, KS1 Inclusion Festivals, mini Olympics</w:t>
            </w:r>
          </w:p>
        </w:tc>
        <w:tc>
          <w:tcPr>
            <w:tcW w:w="1701" w:type="dxa"/>
            <w:tcMar>
              <w:top w:w="28" w:type="dxa"/>
              <w:bottom w:w="28" w:type="dxa"/>
            </w:tcMar>
          </w:tcPr>
          <w:p w:rsidR="00BD1CC4" w:rsidRDefault="00601EB1" w:rsidP="00054071">
            <w:pPr>
              <w:rPr>
                <w:rFonts w:ascii="Verdana" w:hAnsi="Verdana"/>
                <w:sz w:val="18"/>
                <w:szCs w:val="18"/>
              </w:rPr>
            </w:pPr>
            <w:r>
              <w:rPr>
                <w:rFonts w:ascii="Verdana" w:hAnsi="Verdana"/>
                <w:sz w:val="18"/>
                <w:szCs w:val="18"/>
              </w:rPr>
              <w:t>£33</w:t>
            </w:r>
            <w:r w:rsidR="00BD1CC4">
              <w:rPr>
                <w:rFonts w:ascii="Verdana" w:hAnsi="Verdana"/>
                <w:sz w:val="18"/>
                <w:szCs w:val="18"/>
              </w:rPr>
              <w:t xml:space="preserve">00 </w:t>
            </w:r>
            <w:r w:rsidR="00BD1CC4" w:rsidRPr="00F82DE3">
              <w:rPr>
                <w:rFonts w:ascii="Verdana" w:hAnsi="Verdana"/>
                <w:sz w:val="18"/>
                <w:szCs w:val="18"/>
              </w:rPr>
              <w:t>to secur</w:t>
            </w:r>
            <w:r>
              <w:rPr>
                <w:rFonts w:ascii="Verdana" w:hAnsi="Verdana"/>
                <w:sz w:val="18"/>
                <w:szCs w:val="18"/>
              </w:rPr>
              <w:t>e school sports funding for 2022-23</w:t>
            </w:r>
            <w:r w:rsidR="00BD1CC4" w:rsidRPr="00F82DE3">
              <w:rPr>
                <w:rFonts w:ascii="Verdana" w:hAnsi="Verdana"/>
                <w:sz w:val="18"/>
                <w:szCs w:val="18"/>
              </w:rPr>
              <w:t xml:space="preserve"> (Penryn Partnership contract)</w:t>
            </w:r>
          </w:p>
          <w:p w:rsidR="00054071" w:rsidRPr="00054071" w:rsidRDefault="00054071" w:rsidP="00054071">
            <w:pPr>
              <w:rPr>
                <w:rFonts w:ascii="Verdana" w:hAnsi="Verdana"/>
                <w:sz w:val="18"/>
                <w:szCs w:val="18"/>
              </w:rPr>
            </w:pPr>
          </w:p>
          <w:p w:rsidR="00BD1CC4" w:rsidRDefault="00BD1CC4" w:rsidP="00BD1CC4">
            <w:pPr>
              <w:rPr>
                <w:rFonts w:ascii="Verdana" w:hAnsi="Verdana"/>
                <w:sz w:val="18"/>
                <w:szCs w:val="18"/>
              </w:rPr>
            </w:pPr>
          </w:p>
          <w:p w:rsidR="00BD1CC4" w:rsidRPr="004D1A0F" w:rsidRDefault="00BD1CC4" w:rsidP="00BD1CC4">
            <w:pPr>
              <w:rPr>
                <w:rFonts w:ascii="Verdana" w:hAnsi="Verdana"/>
                <w:sz w:val="18"/>
                <w:szCs w:val="18"/>
              </w:rPr>
            </w:pPr>
          </w:p>
        </w:tc>
        <w:tc>
          <w:tcPr>
            <w:tcW w:w="3402" w:type="dxa"/>
            <w:tcMar>
              <w:top w:w="28" w:type="dxa"/>
              <w:bottom w:w="28" w:type="dxa"/>
            </w:tcMar>
          </w:tcPr>
          <w:p w:rsidR="00BD1CC4" w:rsidRDefault="00BD1CC4" w:rsidP="00BD1CC4">
            <w:pPr>
              <w:rPr>
                <w:rFonts w:ascii="Verdana" w:hAnsi="Verdana"/>
                <w:sz w:val="18"/>
                <w:szCs w:val="18"/>
              </w:rPr>
            </w:pPr>
            <w:r w:rsidRPr="00F82DE3">
              <w:rPr>
                <w:rFonts w:ascii="Verdana" w:hAnsi="Verdana"/>
                <w:sz w:val="18"/>
                <w:szCs w:val="18"/>
              </w:rPr>
              <w:t>All children in the school are able to participate in festivals and competitions with other schools in our trust. The participation levels increase, skills for life are developed and profile of sport and PE is celebrated.</w:t>
            </w:r>
          </w:p>
          <w:p w:rsidR="00BD1CC4" w:rsidRDefault="00BD1CC4" w:rsidP="00BD1CC4">
            <w:pPr>
              <w:rPr>
                <w:rFonts w:ascii="Verdana" w:hAnsi="Verdana"/>
                <w:sz w:val="18"/>
                <w:szCs w:val="18"/>
              </w:rPr>
            </w:pPr>
          </w:p>
          <w:p w:rsidR="00BD1CC4" w:rsidRDefault="00BD1CC4" w:rsidP="00BD1CC4">
            <w:pPr>
              <w:rPr>
                <w:rFonts w:ascii="Verdana" w:hAnsi="Verdana"/>
                <w:sz w:val="18"/>
                <w:szCs w:val="18"/>
              </w:rPr>
            </w:pPr>
            <w:r w:rsidRPr="00662C4F">
              <w:rPr>
                <w:rFonts w:ascii="Verdana" w:hAnsi="Verdana"/>
                <w:sz w:val="18"/>
                <w:szCs w:val="18"/>
              </w:rPr>
              <w:t>Children will receive the quality sport through clubs. Our children enjoy clubs and enjoy having a specialist teacher</w:t>
            </w:r>
            <w:r>
              <w:rPr>
                <w:rFonts w:ascii="Verdana" w:hAnsi="Verdana"/>
                <w:sz w:val="18"/>
                <w:szCs w:val="18"/>
              </w:rPr>
              <w:t>(s)</w:t>
            </w:r>
            <w:r w:rsidRPr="00662C4F">
              <w:rPr>
                <w:rFonts w:ascii="Verdana" w:hAnsi="Verdana"/>
                <w:sz w:val="18"/>
                <w:szCs w:val="18"/>
              </w:rPr>
              <w:t xml:space="preserve"> to deliver the sport. This will ensure more children are enjoying a healthy active lifestyle.</w:t>
            </w:r>
          </w:p>
          <w:p w:rsidR="00BD1CC4" w:rsidRPr="004D1A0F" w:rsidRDefault="00BD1CC4" w:rsidP="00BD1CC4">
            <w:pPr>
              <w:rPr>
                <w:rFonts w:ascii="Verdana" w:hAnsi="Verdana"/>
                <w:sz w:val="18"/>
                <w:szCs w:val="18"/>
              </w:rPr>
            </w:pPr>
          </w:p>
        </w:tc>
        <w:tc>
          <w:tcPr>
            <w:tcW w:w="2977" w:type="dxa"/>
            <w:tcMar>
              <w:top w:w="28" w:type="dxa"/>
              <w:bottom w:w="28" w:type="dxa"/>
            </w:tcMar>
          </w:tcPr>
          <w:p w:rsidR="00BD1CC4" w:rsidRDefault="00BD1CC4" w:rsidP="00601EB1">
            <w:pPr>
              <w:rPr>
                <w:rFonts w:ascii="Verdana" w:hAnsi="Verdana"/>
                <w:sz w:val="18"/>
                <w:szCs w:val="18"/>
              </w:rPr>
            </w:pPr>
          </w:p>
        </w:tc>
      </w:tr>
    </w:tbl>
    <w:p w:rsidR="002F31F5" w:rsidRDefault="002F31F5"/>
    <w:p w:rsidR="00BD1CC4" w:rsidRDefault="00BD1CC4"/>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215868" w:themeFill="accent5" w:themeFillShade="80"/>
            <w:vAlign w:val="center"/>
          </w:tcPr>
          <w:p w:rsidR="00EE25FD" w:rsidRPr="00EE25FD" w:rsidRDefault="00EE25FD" w:rsidP="00B14C40">
            <w:pPr>
              <w:spacing w:before="120"/>
              <w:jc w:val="center"/>
              <w:rPr>
                <w:rFonts w:ascii="Verdana" w:hAnsi="Verdana"/>
                <w:b/>
                <w:i/>
                <w:color w:val="C2D69B" w:themeColor="accent3" w:themeTint="99"/>
                <w:sz w:val="16"/>
                <w:szCs w:val="16"/>
              </w:rPr>
            </w:pPr>
          </w:p>
        </w:tc>
        <w:tc>
          <w:tcPr>
            <w:tcW w:w="3969" w:type="dxa"/>
            <w:tcMar>
              <w:top w:w="28" w:type="dxa"/>
              <w:bottom w:w="28" w:type="dxa"/>
            </w:tcMar>
            <w:vAlign w:val="center"/>
          </w:tcPr>
          <w:p w:rsidR="00074DA2" w:rsidRPr="00662C4F" w:rsidRDefault="00074DA2" w:rsidP="009364F1">
            <w:pPr>
              <w:rPr>
                <w:rFonts w:ascii="Verdana" w:hAnsi="Verdana"/>
                <w:sz w:val="18"/>
                <w:szCs w:val="18"/>
              </w:rPr>
            </w:pPr>
          </w:p>
          <w:p w:rsidR="00074DA2" w:rsidRPr="00662C4F" w:rsidRDefault="00074DA2" w:rsidP="009364F1">
            <w:pPr>
              <w:rPr>
                <w:rFonts w:ascii="Verdana" w:hAnsi="Verdana"/>
                <w:sz w:val="18"/>
                <w:szCs w:val="18"/>
              </w:rPr>
            </w:pPr>
          </w:p>
        </w:tc>
        <w:tc>
          <w:tcPr>
            <w:tcW w:w="1701" w:type="dxa"/>
            <w:tcMar>
              <w:top w:w="28" w:type="dxa"/>
              <w:bottom w:w="28" w:type="dxa"/>
            </w:tcMar>
          </w:tcPr>
          <w:p w:rsidR="00F82DE3" w:rsidRPr="00662C4F" w:rsidRDefault="00F82DE3" w:rsidP="009363CB">
            <w:pPr>
              <w:rPr>
                <w:rFonts w:ascii="Verdana" w:hAnsi="Verdana"/>
                <w:sz w:val="18"/>
                <w:szCs w:val="18"/>
              </w:rPr>
            </w:pPr>
          </w:p>
          <w:p w:rsidR="00F82DE3" w:rsidRPr="00662C4F" w:rsidRDefault="00F82DE3" w:rsidP="009363CB">
            <w:pPr>
              <w:rPr>
                <w:rFonts w:ascii="Verdana" w:hAnsi="Verdana"/>
                <w:sz w:val="18"/>
                <w:szCs w:val="18"/>
              </w:rPr>
            </w:pPr>
          </w:p>
        </w:tc>
        <w:tc>
          <w:tcPr>
            <w:tcW w:w="3402" w:type="dxa"/>
            <w:tcMar>
              <w:top w:w="28" w:type="dxa"/>
              <w:bottom w:w="28" w:type="dxa"/>
            </w:tcMar>
          </w:tcPr>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tc>
        <w:tc>
          <w:tcPr>
            <w:tcW w:w="2977" w:type="dxa"/>
            <w:tcMar>
              <w:top w:w="28" w:type="dxa"/>
              <w:bottom w:w="28" w:type="dxa"/>
            </w:tcMar>
          </w:tcPr>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Leadership, Coaching</w:t>
            </w:r>
            <w:r w:rsidR="002F31F5">
              <w:rPr>
                <w:rFonts w:ascii="Verdana" w:hAnsi="Verdana"/>
                <w:b/>
                <w:color w:val="C2D69B" w:themeColor="accent3" w:themeTint="99"/>
              </w:rPr>
              <w:t xml:space="preserve"> </w:t>
            </w:r>
            <w:r w:rsidRPr="000D2C43">
              <w:rPr>
                <w:rFonts w:ascii="Verdana" w:hAnsi="Verdana"/>
                <w:b/>
                <w:color w:val="C2D69B" w:themeColor="accent3" w:themeTint="99"/>
              </w:rPr>
              <w:t>&amp; Volunteering</w:t>
            </w:r>
          </w:p>
          <w:p w:rsidR="00BB06B1" w:rsidRPr="00BB06B1" w:rsidRDefault="00BB06B1"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69" w:type="dxa"/>
            <w:tcMar>
              <w:top w:w="28" w:type="dxa"/>
              <w:bottom w:w="28" w:type="dxa"/>
            </w:tcMar>
            <w:vAlign w:val="center"/>
          </w:tcPr>
          <w:p w:rsidR="000D2C43" w:rsidRDefault="00C00ED9" w:rsidP="009364F1">
            <w:pPr>
              <w:rPr>
                <w:rFonts w:ascii="Verdana" w:hAnsi="Verdana"/>
                <w:sz w:val="18"/>
                <w:szCs w:val="18"/>
              </w:rPr>
            </w:pPr>
            <w:r w:rsidRPr="002F31F5">
              <w:rPr>
                <w:rFonts w:ascii="Verdana" w:hAnsi="Verdana"/>
                <w:sz w:val="18"/>
                <w:szCs w:val="20"/>
              </w:rPr>
              <w:t>PE Coordinator monitors PE across the school – identifies areas of need</w:t>
            </w:r>
            <w:r w:rsidR="00BD1CC4">
              <w:rPr>
                <w:rFonts w:ascii="Verdana" w:hAnsi="Verdana"/>
                <w:sz w:val="18"/>
                <w:szCs w:val="20"/>
              </w:rPr>
              <w:t xml:space="preserve"> in terms of CPD for all staff, gaps in </w:t>
            </w:r>
            <w:r w:rsidR="005E16A7">
              <w:rPr>
                <w:rFonts w:ascii="Verdana" w:hAnsi="Verdana"/>
                <w:sz w:val="18"/>
                <w:szCs w:val="20"/>
              </w:rPr>
              <w:t>learning and attainment of learners.</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BD1CC4" w:rsidRDefault="00BD1CC4"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9B4BD3" w:rsidRPr="004D1A0F" w:rsidRDefault="005E16A7" w:rsidP="005E16A7">
            <w:pPr>
              <w:rPr>
                <w:rFonts w:ascii="Verdana" w:hAnsi="Verdana"/>
                <w:sz w:val="18"/>
                <w:szCs w:val="18"/>
              </w:rPr>
            </w:pPr>
            <w:r>
              <w:rPr>
                <w:rFonts w:ascii="Verdana" w:hAnsi="Verdana"/>
                <w:sz w:val="18"/>
                <w:szCs w:val="20"/>
              </w:rPr>
              <w:t>£300</w:t>
            </w:r>
          </w:p>
        </w:tc>
        <w:tc>
          <w:tcPr>
            <w:tcW w:w="3402" w:type="dxa"/>
            <w:tcMar>
              <w:top w:w="28" w:type="dxa"/>
              <w:bottom w:w="28" w:type="dxa"/>
            </w:tcMar>
          </w:tcPr>
          <w:p w:rsidR="005E16A7" w:rsidRDefault="00C00ED9" w:rsidP="00C00ED9">
            <w:pPr>
              <w:pStyle w:val="Default"/>
              <w:rPr>
                <w:rFonts w:ascii="Verdana" w:hAnsi="Verdana"/>
                <w:sz w:val="18"/>
                <w:szCs w:val="20"/>
              </w:rPr>
            </w:pPr>
            <w:r>
              <w:rPr>
                <w:rFonts w:ascii="Verdana" w:hAnsi="Verdana"/>
                <w:sz w:val="18"/>
                <w:szCs w:val="20"/>
              </w:rPr>
              <w:t xml:space="preserve">Teaching standards raised so children are receiving the quality they deserve. </w:t>
            </w:r>
          </w:p>
          <w:p w:rsidR="00C00ED9" w:rsidRDefault="00C00ED9" w:rsidP="00C00ED9">
            <w:pPr>
              <w:pStyle w:val="Default"/>
              <w:rPr>
                <w:rFonts w:ascii="Verdana" w:hAnsi="Verdana"/>
                <w:sz w:val="18"/>
                <w:szCs w:val="20"/>
              </w:rPr>
            </w:pPr>
            <w:r>
              <w:rPr>
                <w:rFonts w:ascii="Verdana" w:hAnsi="Verdana"/>
                <w:sz w:val="18"/>
                <w:szCs w:val="20"/>
              </w:rPr>
              <w:t>Will promote the profile of PE across the school for all</w:t>
            </w:r>
          </w:p>
          <w:p w:rsidR="009B4BD3" w:rsidRPr="004D1A0F" w:rsidRDefault="009B4BD3" w:rsidP="009363CB">
            <w:pPr>
              <w:rPr>
                <w:rFonts w:ascii="Verdana" w:hAnsi="Verdana"/>
                <w:sz w:val="18"/>
                <w:szCs w:val="18"/>
              </w:rPr>
            </w:pPr>
          </w:p>
        </w:tc>
        <w:tc>
          <w:tcPr>
            <w:tcW w:w="2977" w:type="dxa"/>
            <w:tcMar>
              <w:top w:w="28" w:type="dxa"/>
              <w:bottom w:w="28" w:type="dxa"/>
            </w:tcMar>
          </w:tcPr>
          <w:p w:rsidR="009B4BD3" w:rsidRPr="004D1A0F" w:rsidRDefault="009B4BD3" w:rsidP="009363CB">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Community Collaboration</w:t>
            </w:r>
          </w:p>
          <w:p w:rsidR="00FE76DA" w:rsidRPr="00FE76DA" w:rsidRDefault="00BB06B1"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00B14C40"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969" w:type="dxa"/>
            <w:tcMar>
              <w:top w:w="28" w:type="dxa"/>
              <w:bottom w:w="28" w:type="dxa"/>
            </w:tcMar>
            <w:vAlign w:val="center"/>
          </w:tcPr>
          <w:p w:rsidR="005E16A7" w:rsidRDefault="005E16A7" w:rsidP="00C00ED9">
            <w:pPr>
              <w:rPr>
                <w:rFonts w:ascii="Verdana" w:hAnsi="Verdana"/>
                <w:sz w:val="18"/>
                <w:szCs w:val="18"/>
              </w:rPr>
            </w:pPr>
            <w:r>
              <w:rPr>
                <w:rFonts w:ascii="Verdana" w:hAnsi="Verdana"/>
                <w:sz w:val="18"/>
                <w:szCs w:val="18"/>
              </w:rPr>
              <w:t>As Above (Competitions Section)</w:t>
            </w:r>
          </w:p>
          <w:p w:rsidR="005E16A7" w:rsidRDefault="005E16A7" w:rsidP="00C00ED9">
            <w:pPr>
              <w:rPr>
                <w:rFonts w:ascii="Verdana" w:hAnsi="Verdana"/>
                <w:sz w:val="18"/>
                <w:szCs w:val="18"/>
              </w:rPr>
            </w:pPr>
          </w:p>
          <w:p w:rsidR="00074DA2" w:rsidRDefault="00C00ED9" w:rsidP="009364F1">
            <w:pPr>
              <w:rPr>
                <w:rFonts w:ascii="Verdana" w:hAnsi="Verdana"/>
                <w:sz w:val="18"/>
                <w:szCs w:val="18"/>
              </w:rPr>
            </w:pPr>
            <w:r w:rsidRPr="00F82DE3">
              <w:rPr>
                <w:rFonts w:ascii="Verdana" w:hAnsi="Verdana"/>
                <w:sz w:val="18"/>
                <w:szCs w:val="18"/>
              </w:rPr>
              <w:t>As per last year the school will be buying into the Pe</w:t>
            </w:r>
            <w:r w:rsidR="005E16A7">
              <w:rPr>
                <w:rFonts w:ascii="Verdana" w:hAnsi="Verdana"/>
                <w:sz w:val="18"/>
                <w:szCs w:val="18"/>
              </w:rPr>
              <w:t>nryn College Sports Partnership.</w:t>
            </w:r>
          </w:p>
          <w:p w:rsidR="005E16A7" w:rsidRDefault="005E16A7" w:rsidP="009364F1">
            <w:pPr>
              <w:rPr>
                <w:rFonts w:ascii="Verdana" w:hAnsi="Verdana"/>
                <w:sz w:val="18"/>
                <w:szCs w:val="18"/>
              </w:rPr>
            </w:pPr>
          </w:p>
          <w:p w:rsidR="005E16A7" w:rsidRDefault="005E16A7" w:rsidP="009364F1">
            <w:pPr>
              <w:rPr>
                <w:rFonts w:ascii="Verdana" w:hAnsi="Verdana"/>
                <w:sz w:val="18"/>
                <w:szCs w:val="18"/>
              </w:rPr>
            </w:pPr>
          </w:p>
          <w:p w:rsidR="005E16A7" w:rsidRDefault="005E16A7" w:rsidP="009364F1">
            <w:pPr>
              <w:rPr>
                <w:rFonts w:ascii="Verdana" w:hAnsi="Verdana"/>
                <w:sz w:val="18"/>
                <w:szCs w:val="18"/>
              </w:rPr>
            </w:pPr>
          </w:p>
          <w:p w:rsidR="00566FF0" w:rsidRDefault="00566FF0"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C00ED9" w:rsidRDefault="005E16A7" w:rsidP="00C00ED9">
            <w:pPr>
              <w:rPr>
                <w:rFonts w:ascii="Verdana" w:hAnsi="Verdana"/>
                <w:sz w:val="18"/>
                <w:szCs w:val="18"/>
              </w:rPr>
            </w:pPr>
            <w:r>
              <w:rPr>
                <w:rFonts w:ascii="Verdana" w:hAnsi="Verdana"/>
                <w:sz w:val="18"/>
                <w:szCs w:val="18"/>
              </w:rPr>
              <w:t>As Above</w:t>
            </w:r>
          </w:p>
          <w:p w:rsidR="009B4BD3" w:rsidRDefault="009B4BD3"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66FF0" w:rsidRDefault="00566FF0" w:rsidP="009363CB">
            <w:pPr>
              <w:rPr>
                <w:rFonts w:ascii="Verdana" w:hAnsi="Verdana"/>
                <w:sz w:val="18"/>
                <w:szCs w:val="18"/>
              </w:rPr>
            </w:pPr>
          </w:p>
          <w:p w:rsidR="00231CCF" w:rsidRDefault="00231CCF" w:rsidP="009363CB">
            <w:pPr>
              <w:rPr>
                <w:rFonts w:ascii="Verdana" w:hAnsi="Verdana"/>
                <w:sz w:val="18"/>
                <w:szCs w:val="18"/>
              </w:rPr>
            </w:pPr>
          </w:p>
          <w:p w:rsidR="00231CCF" w:rsidRDefault="00231CCF" w:rsidP="009363CB">
            <w:pPr>
              <w:rPr>
                <w:rFonts w:ascii="Verdana" w:hAnsi="Verdana"/>
                <w:sz w:val="18"/>
                <w:szCs w:val="18"/>
              </w:rPr>
            </w:pPr>
          </w:p>
          <w:p w:rsidR="005E16A7" w:rsidRPr="004D1A0F" w:rsidRDefault="005E16A7" w:rsidP="009363CB">
            <w:pPr>
              <w:rPr>
                <w:rFonts w:ascii="Verdana" w:hAnsi="Verdana"/>
                <w:sz w:val="18"/>
                <w:szCs w:val="18"/>
              </w:rPr>
            </w:pPr>
          </w:p>
        </w:tc>
        <w:tc>
          <w:tcPr>
            <w:tcW w:w="3402" w:type="dxa"/>
            <w:tcMar>
              <w:top w:w="28" w:type="dxa"/>
              <w:bottom w:w="28" w:type="dxa"/>
            </w:tcMar>
          </w:tcPr>
          <w:p w:rsidR="00C00ED9" w:rsidRDefault="00C00ED9" w:rsidP="00C00ED9">
            <w:pPr>
              <w:rPr>
                <w:rFonts w:ascii="Verdana" w:hAnsi="Verdana"/>
                <w:sz w:val="18"/>
                <w:szCs w:val="18"/>
              </w:rPr>
            </w:pPr>
            <w:r w:rsidRPr="00F82DE3">
              <w:rPr>
                <w:rFonts w:ascii="Verdana" w:hAnsi="Verdana"/>
                <w:sz w:val="18"/>
                <w:szCs w:val="18"/>
              </w:rPr>
              <w:t>All children in the school are able to participate in festivals and competitions with other schools in our trust. The participation levels increase, skills for life are developed and profile of sport and PE is celebrated.</w:t>
            </w:r>
          </w:p>
          <w:p w:rsidR="005E16A7" w:rsidRDefault="005E16A7" w:rsidP="00C00ED9">
            <w:pPr>
              <w:rPr>
                <w:rFonts w:ascii="Verdana" w:hAnsi="Verdana"/>
                <w:sz w:val="18"/>
                <w:szCs w:val="18"/>
              </w:rPr>
            </w:pPr>
          </w:p>
          <w:p w:rsidR="009B4BD3" w:rsidRPr="004D1A0F" w:rsidRDefault="009B4BD3" w:rsidP="00601EB1">
            <w:pPr>
              <w:rPr>
                <w:rFonts w:ascii="Verdana" w:hAnsi="Verdana"/>
                <w:sz w:val="18"/>
                <w:szCs w:val="18"/>
              </w:rPr>
            </w:pPr>
          </w:p>
        </w:tc>
        <w:tc>
          <w:tcPr>
            <w:tcW w:w="2977" w:type="dxa"/>
            <w:tcMar>
              <w:top w:w="28" w:type="dxa"/>
              <w:bottom w:w="28" w:type="dxa"/>
            </w:tcMar>
          </w:tcPr>
          <w:p w:rsidR="009B4BD3" w:rsidRPr="004D1A0F" w:rsidRDefault="009B4BD3" w:rsidP="009363CB">
            <w:pPr>
              <w:rPr>
                <w:rFonts w:ascii="Verdana" w:hAnsi="Verdana"/>
                <w:sz w:val="18"/>
                <w:szCs w:val="18"/>
              </w:rPr>
            </w:pPr>
          </w:p>
        </w:tc>
      </w:tr>
    </w:tbl>
    <w:p w:rsidR="002F31F5" w:rsidRDefault="002F31F5"/>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215868" w:themeFill="accent5" w:themeFillShade="80"/>
            <w:vAlign w:val="center"/>
          </w:tcPr>
          <w:p w:rsidR="009B4BD3" w:rsidRPr="00FE76DA" w:rsidRDefault="00DB630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rsidR="008110D4" w:rsidRDefault="008110D4"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rsidR="00EE25FD" w:rsidRDefault="00EE25FD" w:rsidP="00BB06B1">
            <w:pPr>
              <w:spacing w:before="120"/>
              <w:jc w:val="center"/>
              <w:rPr>
                <w:rFonts w:ascii="Verdana" w:hAnsi="Verdana"/>
                <w:i/>
                <w:color w:val="C2D69B" w:themeColor="accent3" w:themeTint="99"/>
                <w:sz w:val="16"/>
                <w:szCs w:val="16"/>
              </w:rPr>
            </w:pPr>
          </w:p>
          <w:p w:rsidR="00EE25FD" w:rsidRDefault="00EE25FD" w:rsidP="00EE25FD">
            <w:pPr>
              <w:spacing w:before="120"/>
              <w:rPr>
                <w:rFonts w:ascii="Verdana" w:hAnsi="Verdana"/>
                <w:i/>
                <w:color w:val="C2D69B" w:themeColor="accent3" w:themeTint="99"/>
                <w:sz w:val="16"/>
                <w:szCs w:val="16"/>
              </w:rPr>
            </w:pPr>
          </w:p>
          <w:p w:rsidR="00EE25FD" w:rsidRPr="00EE25FD" w:rsidRDefault="00EE25FD" w:rsidP="00BB06B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969" w:type="dxa"/>
            <w:tcMar>
              <w:top w:w="28" w:type="dxa"/>
              <w:bottom w:w="28" w:type="dxa"/>
            </w:tcMar>
            <w:vAlign w:val="center"/>
          </w:tcPr>
          <w:p w:rsidR="00054071" w:rsidRDefault="00382CB5" w:rsidP="00382CB5">
            <w:pPr>
              <w:rPr>
                <w:rFonts w:ascii="Verdana" w:hAnsi="Verdana"/>
                <w:sz w:val="18"/>
                <w:szCs w:val="20"/>
              </w:rPr>
            </w:pPr>
            <w:r>
              <w:rPr>
                <w:rFonts w:ascii="Verdana" w:hAnsi="Verdana"/>
                <w:sz w:val="18"/>
                <w:szCs w:val="20"/>
              </w:rPr>
              <w:lastRenderedPageBreak/>
              <w:t xml:space="preserve">PE Coordinator to work with all teaching staff to monitor participation in PE. </w:t>
            </w:r>
          </w:p>
          <w:p w:rsidR="00382CB5" w:rsidRDefault="00382CB5" w:rsidP="00382CB5">
            <w:pPr>
              <w:rPr>
                <w:rFonts w:ascii="Verdana" w:hAnsi="Verdana"/>
                <w:sz w:val="18"/>
                <w:szCs w:val="20"/>
              </w:rPr>
            </w:pPr>
            <w:r>
              <w:rPr>
                <w:rFonts w:ascii="Verdana" w:hAnsi="Verdana"/>
                <w:sz w:val="18"/>
                <w:szCs w:val="20"/>
              </w:rPr>
              <w:lastRenderedPageBreak/>
              <w:t xml:space="preserve">PE coordinator to be given time to liaise with parents of more reticent children  </w:t>
            </w:r>
          </w:p>
          <w:p w:rsidR="000D2C43" w:rsidRDefault="000D2C43"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382CB5" w:rsidRDefault="005E16A7" w:rsidP="00382CB5">
            <w:pPr>
              <w:rPr>
                <w:rFonts w:ascii="Verdana" w:eastAsia="Times New Roman" w:hAnsi="Verdana" w:cstheme="minorHAnsi"/>
                <w:sz w:val="18"/>
                <w:szCs w:val="20"/>
                <w:lang w:eastAsia="en-GB"/>
              </w:rPr>
            </w:pPr>
            <w:r>
              <w:rPr>
                <w:rFonts w:ascii="Verdana" w:eastAsia="Times New Roman" w:hAnsi="Verdana" w:cstheme="minorHAnsi"/>
                <w:sz w:val="18"/>
                <w:szCs w:val="20"/>
                <w:lang w:eastAsia="en-GB"/>
              </w:rPr>
              <w:lastRenderedPageBreak/>
              <w:t xml:space="preserve">As Above – refer to </w:t>
            </w:r>
            <w:r>
              <w:rPr>
                <w:rFonts w:ascii="Verdana" w:eastAsia="Times New Roman" w:hAnsi="Verdana" w:cstheme="minorHAnsi"/>
                <w:sz w:val="18"/>
                <w:szCs w:val="20"/>
                <w:lang w:eastAsia="en-GB"/>
              </w:rPr>
              <w:lastRenderedPageBreak/>
              <w:t>Leadership section.</w:t>
            </w:r>
          </w:p>
          <w:p w:rsidR="009B4BD3" w:rsidRPr="004D1A0F" w:rsidRDefault="009B4BD3" w:rsidP="009363CB">
            <w:pPr>
              <w:rPr>
                <w:rFonts w:ascii="Verdana" w:hAnsi="Verdana"/>
                <w:sz w:val="18"/>
                <w:szCs w:val="18"/>
              </w:rPr>
            </w:pPr>
          </w:p>
        </w:tc>
        <w:tc>
          <w:tcPr>
            <w:tcW w:w="3402" w:type="dxa"/>
            <w:tcMar>
              <w:top w:w="28" w:type="dxa"/>
              <w:bottom w:w="28" w:type="dxa"/>
            </w:tcMar>
          </w:tcPr>
          <w:p w:rsidR="00382CB5" w:rsidRDefault="00382CB5" w:rsidP="00382CB5">
            <w:pPr>
              <w:pStyle w:val="Default"/>
              <w:rPr>
                <w:rFonts w:ascii="Verdana" w:hAnsi="Verdana"/>
                <w:sz w:val="18"/>
                <w:szCs w:val="20"/>
              </w:rPr>
            </w:pPr>
            <w:r>
              <w:rPr>
                <w:rFonts w:ascii="Verdana" w:hAnsi="Verdana"/>
                <w:sz w:val="18"/>
                <w:szCs w:val="20"/>
              </w:rPr>
              <w:lastRenderedPageBreak/>
              <w:t xml:space="preserve">All children take part in all PE lessons. Alternative provision for PE kits is made. Parents </w:t>
            </w:r>
            <w:r>
              <w:rPr>
                <w:rFonts w:ascii="Verdana" w:hAnsi="Verdana"/>
                <w:sz w:val="18"/>
                <w:szCs w:val="20"/>
              </w:rPr>
              <w:lastRenderedPageBreak/>
              <w:t>understand how important PE in schools is</w:t>
            </w:r>
            <w:r w:rsidR="005E16A7">
              <w:rPr>
                <w:rFonts w:ascii="Verdana" w:hAnsi="Verdana"/>
                <w:sz w:val="18"/>
                <w:szCs w:val="20"/>
              </w:rPr>
              <w:t>.</w:t>
            </w:r>
          </w:p>
          <w:p w:rsidR="009B4BD3" w:rsidRPr="004D1A0F" w:rsidRDefault="009B4BD3" w:rsidP="009363CB">
            <w:pPr>
              <w:rPr>
                <w:rFonts w:ascii="Verdana" w:hAnsi="Verdana"/>
                <w:sz w:val="18"/>
                <w:szCs w:val="18"/>
              </w:rPr>
            </w:pPr>
          </w:p>
        </w:tc>
        <w:tc>
          <w:tcPr>
            <w:tcW w:w="2977" w:type="dxa"/>
            <w:tcMar>
              <w:top w:w="28" w:type="dxa"/>
              <w:bottom w:w="28" w:type="dxa"/>
            </w:tcMar>
          </w:tcPr>
          <w:p w:rsidR="00382CB5" w:rsidRDefault="00382CB5" w:rsidP="00382CB5">
            <w:pPr>
              <w:rPr>
                <w:rFonts w:ascii="Verdana" w:hAnsi="Verdana"/>
                <w:sz w:val="18"/>
                <w:szCs w:val="20"/>
              </w:rPr>
            </w:pPr>
            <w:r>
              <w:rPr>
                <w:rFonts w:ascii="Verdana" w:hAnsi="Verdana"/>
                <w:sz w:val="18"/>
                <w:szCs w:val="20"/>
              </w:rPr>
              <w:lastRenderedPageBreak/>
              <w:t xml:space="preserve">PE coordinator to share information with CTs so that monitoring and follow ups at </w:t>
            </w:r>
            <w:r>
              <w:rPr>
                <w:rFonts w:ascii="Verdana" w:hAnsi="Verdana"/>
                <w:sz w:val="18"/>
                <w:szCs w:val="20"/>
              </w:rPr>
              <w:lastRenderedPageBreak/>
              <w:t>parents’ evenings can take place</w:t>
            </w:r>
          </w:p>
          <w:p w:rsidR="009B4BD3" w:rsidRPr="004D1A0F" w:rsidRDefault="009B4BD3" w:rsidP="005E16A7">
            <w:pPr>
              <w:rPr>
                <w:rFonts w:ascii="Verdana" w:hAnsi="Verdana"/>
                <w:sz w:val="18"/>
                <w:szCs w:val="18"/>
              </w:rPr>
            </w:pPr>
          </w:p>
        </w:tc>
      </w:tr>
    </w:tbl>
    <w:p w:rsidR="009B4BD3" w:rsidRPr="00002FD1" w:rsidRDefault="009B4BD3" w:rsidP="004D1A0F">
      <w:pPr>
        <w:rPr>
          <w:rFonts w:ascii="Verdana" w:hAnsi="Verdana"/>
        </w:rPr>
      </w:pPr>
    </w:p>
    <w:sectPr w:rsidR="009B4BD3" w:rsidRPr="00002FD1"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19" w:rsidRDefault="00563619" w:rsidP="000D2CC2">
      <w:pPr>
        <w:spacing w:after="0" w:line="240" w:lineRule="auto"/>
      </w:pPr>
      <w:r>
        <w:separator/>
      </w:r>
    </w:p>
  </w:endnote>
  <w:endnote w:type="continuationSeparator" w:id="0">
    <w:p w:rsidR="00563619" w:rsidRDefault="00563619"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19" w:rsidRDefault="00563619" w:rsidP="000D2CC2">
      <w:pPr>
        <w:spacing w:after="0" w:line="240" w:lineRule="auto"/>
      </w:pPr>
      <w:r>
        <w:separator/>
      </w:r>
    </w:p>
  </w:footnote>
  <w:footnote w:type="continuationSeparator" w:id="0">
    <w:p w:rsidR="00563619" w:rsidRDefault="00563619" w:rsidP="000D2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C2" w:rsidRPr="000D2CC2" w:rsidRDefault="00E6188E"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1495BB41" wp14:editId="4F3D713F">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032E666A" wp14:editId="261BB2E5">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9E1175">
      <w:rPr>
        <w:rFonts w:ascii="Verdana" w:hAnsi="Verdana"/>
        <w:b/>
        <w:color w:val="215868" w:themeColor="accent5" w:themeShade="80"/>
        <w:sz w:val="24"/>
        <w:szCs w:val="24"/>
      </w:rPr>
      <w:t xml:space="preserve">MYLOR BRIDGE SCHOOL </w:t>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11540"/>
    <w:multiLevelType w:val="hybridMultilevel"/>
    <w:tmpl w:val="4E06AE60"/>
    <w:lvl w:ilvl="0" w:tplc="11A8CB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6D64"/>
    <w:rsid w:val="0005295E"/>
    <w:rsid w:val="00054071"/>
    <w:rsid w:val="00057799"/>
    <w:rsid w:val="00063169"/>
    <w:rsid w:val="00074DA2"/>
    <w:rsid w:val="000D2C43"/>
    <w:rsid w:val="000D2CC2"/>
    <w:rsid w:val="00111D68"/>
    <w:rsid w:val="001154D3"/>
    <w:rsid w:val="00117ED8"/>
    <w:rsid w:val="00133D38"/>
    <w:rsid w:val="00140111"/>
    <w:rsid w:val="001750C9"/>
    <w:rsid w:val="001B55F9"/>
    <w:rsid w:val="001C38D2"/>
    <w:rsid w:val="001D4AFE"/>
    <w:rsid w:val="001E7C40"/>
    <w:rsid w:val="00231CCF"/>
    <w:rsid w:val="00233C2C"/>
    <w:rsid w:val="002435DB"/>
    <w:rsid w:val="002F31F5"/>
    <w:rsid w:val="00365996"/>
    <w:rsid w:val="00382CB5"/>
    <w:rsid w:val="003B597E"/>
    <w:rsid w:val="003F68B1"/>
    <w:rsid w:val="004078B6"/>
    <w:rsid w:val="0041638A"/>
    <w:rsid w:val="0046402D"/>
    <w:rsid w:val="00472A43"/>
    <w:rsid w:val="004A76FB"/>
    <w:rsid w:val="004D0B0B"/>
    <w:rsid w:val="004D1A0F"/>
    <w:rsid w:val="00525DCC"/>
    <w:rsid w:val="00531094"/>
    <w:rsid w:val="005319F2"/>
    <w:rsid w:val="00534C55"/>
    <w:rsid w:val="00563619"/>
    <w:rsid w:val="00566FF0"/>
    <w:rsid w:val="0057055D"/>
    <w:rsid w:val="00572CAB"/>
    <w:rsid w:val="005E16A7"/>
    <w:rsid w:val="005E5E3A"/>
    <w:rsid w:val="005E69DE"/>
    <w:rsid w:val="00601EB1"/>
    <w:rsid w:val="00662C4F"/>
    <w:rsid w:val="007478DD"/>
    <w:rsid w:val="00751E09"/>
    <w:rsid w:val="007F7D90"/>
    <w:rsid w:val="008110D4"/>
    <w:rsid w:val="0086629C"/>
    <w:rsid w:val="008828B6"/>
    <w:rsid w:val="008842BF"/>
    <w:rsid w:val="008B31FE"/>
    <w:rsid w:val="00917873"/>
    <w:rsid w:val="009363CB"/>
    <w:rsid w:val="009364F1"/>
    <w:rsid w:val="009615C5"/>
    <w:rsid w:val="009834DD"/>
    <w:rsid w:val="009B4BD3"/>
    <w:rsid w:val="009E1175"/>
    <w:rsid w:val="00A0487E"/>
    <w:rsid w:val="00A938C5"/>
    <w:rsid w:val="00B0159D"/>
    <w:rsid w:val="00B02EA8"/>
    <w:rsid w:val="00B14C40"/>
    <w:rsid w:val="00B36E4E"/>
    <w:rsid w:val="00B67DD4"/>
    <w:rsid w:val="00BB06B1"/>
    <w:rsid w:val="00BD1CC4"/>
    <w:rsid w:val="00BE1A3F"/>
    <w:rsid w:val="00BE575F"/>
    <w:rsid w:val="00C00ED9"/>
    <w:rsid w:val="00C06072"/>
    <w:rsid w:val="00C53757"/>
    <w:rsid w:val="00C54522"/>
    <w:rsid w:val="00C852A8"/>
    <w:rsid w:val="00D06B42"/>
    <w:rsid w:val="00D124A2"/>
    <w:rsid w:val="00D163B6"/>
    <w:rsid w:val="00D80D5F"/>
    <w:rsid w:val="00D83ED8"/>
    <w:rsid w:val="00DB6302"/>
    <w:rsid w:val="00E02160"/>
    <w:rsid w:val="00E126E3"/>
    <w:rsid w:val="00E15744"/>
    <w:rsid w:val="00E5123B"/>
    <w:rsid w:val="00E6188E"/>
    <w:rsid w:val="00EB1917"/>
    <w:rsid w:val="00EE25FD"/>
    <w:rsid w:val="00EE7E9D"/>
    <w:rsid w:val="00F17E54"/>
    <w:rsid w:val="00F508DB"/>
    <w:rsid w:val="00F61A56"/>
    <w:rsid w:val="00F64A2B"/>
    <w:rsid w:val="00F82DE3"/>
    <w:rsid w:val="00F84890"/>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9939600-D85C-4482-920C-A6F86CE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3407">
      <w:bodyDiv w:val="1"/>
      <w:marLeft w:val="0"/>
      <w:marRight w:val="0"/>
      <w:marTop w:val="0"/>
      <w:marBottom w:val="0"/>
      <w:divBdr>
        <w:top w:val="none" w:sz="0" w:space="0" w:color="auto"/>
        <w:left w:val="none" w:sz="0" w:space="0" w:color="auto"/>
        <w:bottom w:val="none" w:sz="0" w:space="0" w:color="auto"/>
        <w:right w:val="none" w:sz="0" w:space="0" w:color="auto"/>
      </w:divBdr>
    </w:div>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05151">
      <w:bodyDiv w:val="1"/>
      <w:marLeft w:val="0"/>
      <w:marRight w:val="0"/>
      <w:marTop w:val="0"/>
      <w:marBottom w:val="0"/>
      <w:divBdr>
        <w:top w:val="none" w:sz="0" w:space="0" w:color="auto"/>
        <w:left w:val="none" w:sz="0" w:space="0" w:color="auto"/>
        <w:bottom w:val="none" w:sz="0" w:space="0" w:color="auto"/>
        <w:right w:val="none" w:sz="0" w:space="0" w:color="auto"/>
      </w:divBdr>
    </w:div>
    <w:div w:id="819535873">
      <w:bodyDiv w:val="1"/>
      <w:marLeft w:val="0"/>
      <w:marRight w:val="0"/>
      <w:marTop w:val="0"/>
      <w:marBottom w:val="0"/>
      <w:divBdr>
        <w:top w:val="none" w:sz="0" w:space="0" w:color="auto"/>
        <w:left w:val="none" w:sz="0" w:space="0" w:color="auto"/>
        <w:bottom w:val="none" w:sz="0" w:space="0" w:color="auto"/>
        <w:right w:val="none" w:sz="0" w:space="0" w:color="auto"/>
      </w:divBdr>
    </w:div>
    <w:div w:id="954605924">
      <w:bodyDiv w:val="1"/>
      <w:marLeft w:val="0"/>
      <w:marRight w:val="0"/>
      <w:marTop w:val="0"/>
      <w:marBottom w:val="0"/>
      <w:divBdr>
        <w:top w:val="none" w:sz="0" w:space="0" w:color="auto"/>
        <w:left w:val="none" w:sz="0" w:space="0" w:color="auto"/>
        <w:bottom w:val="none" w:sz="0" w:space="0" w:color="auto"/>
        <w:right w:val="none" w:sz="0" w:space="0" w:color="auto"/>
      </w:divBdr>
    </w:div>
    <w:div w:id="1130318985">
      <w:bodyDiv w:val="1"/>
      <w:marLeft w:val="0"/>
      <w:marRight w:val="0"/>
      <w:marTop w:val="0"/>
      <w:marBottom w:val="0"/>
      <w:divBdr>
        <w:top w:val="none" w:sz="0" w:space="0" w:color="auto"/>
        <w:left w:val="none" w:sz="0" w:space="0" w:color="auto"/>
        <w:bottom w:val="none" w:sz="0" w:space="0" w:color="auto"/>
        <w:right w:val="none" w:sz="0" w:space="0" w:color="auto"/>
      </w:divBdr>
    </w:div>
    <w:div w:id="1209876969">
      <w:bodyDiv w:val="1"/>
      <w:marLeft w:val="0"/>
      <w:marRight w:val="0"/>
      <w:marTop w:val="0"/>
      <w:marBottom w:val="0"/>
      <w:divBdr>
        <w:top w:val="none" w:sz="0" w:space="0" w:color="auto"/>
        <w:left w:val="none" w:sz="0" w:space="0" w:color="auto"/>
        <w:bottom w:val="none" w:sz="0" w:space="0" w:color="auto"/>
        <w:right w:val="none" w:sz="0" w:space="0" w:color="auto"/>
      </w:divBdr>
    </w:div>
    <w:div w:id="1529098924">
      <w:bodyDiv w:val="1"/>
      <w:marLeft w:val="0"/>
      <w:marRight w:val="0"/>
      <w:marTop w:val="0"/>
      <w:marBottom w:val="0"/>
      <w:divBdr>
        <w:top w:val="none" w:sz="0" w:space="0" w:color="auto"/>
        <w:left w:val="none" w:sz="0" w:space="0" w:color="auto"/>
        <w:bottom w:val="none" w:sz="0" w:space="0" w:color="auto"/>
        <w:right w:val="none" w:sz="0" w:space="0" w:color="auto"/>
      </w:divBdr>
    </w:div>
    <w:div w:id="1598060251">
      <w:bodyDiv w:val="1"/>
      <w:marLeft w:val="0"/>
      <w:marRight w:val="0"/>
      <w:marTop w:val="0"/>
      <w:marBottom w:val="0"/>
      <w:divBdr>
        <w:top w:val="none" w:sz="0" w:space="0" w:color="auto"/>
        <w:left w:val="none" w:sz="0" w:space="0" w:color="auto"/>
        <w:bottom w:val="none" w:sz="0" w:space="0" w:color="auto"/>
        <w:right w:val="none" w:sz="0" w:space="0" w:color="auto"/>
      </w:divBdr>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wallsportspartnership.co.uk/pe-and-school-sport" TargetMode="External"/><Relationship Id="rId4" Type="http://schemas.openxmlformats.org/officeDocument/2006/relationships/settings" Target="settings.xml"/><Relationship Id="rId9" Type="http://schemas.openxmlformats.org/officeDocument/2006/relationships/hyperlink" Target="http://www.ofsted.gov.uk/inspection-reports/our-expert-knowledge/physic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3498-2774-4020-AE7E-D1B17811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Vicky 2. Sanderson</cp:lastModifiedBy>
  <cp:revision>2</cp:revision>
  <cp:lastPrinted>2022-06-14T12:10:00Z</cp:lastPrinted>
  <dcterms:created xsi:type="dcterms:W3CDTF">2022-06-28T10:00:00Z</dcterms:created>
  <dcterms:modified xsi:type="dcterms:W3CDTF">2022-06-28T10:00:00Z</dcterms:modified>
</cp:coreProperties>
</file>